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79375</wp:posOffset>
            </wp:positionV>
            <wp:extent cx="19627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158750</wp:posOffset>
            </wp:positionV>
            <wp:extent cx="19627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May 28, 2026</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Red River Bancshares, Inc.</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93" w:lineRule="exact"/>
        <w:rPr>
          <w:sz w:val="24"/>
          <w:szCs w:val="24"/>
          <w:color w:val="auto"/>
        </w:rPr>
      </w:pPr>
    </w:p>
    <w:tbl>
      <w:tblPr>
        <w:tblLayout w:type="fixed"/>
        <w:tblInd w:w="1060" w:type="dxa"/>
        <w:tblCellMar>
          <w:top w:w="0" w:type="dxa"/>
          <w:left w:w="0" w:type="dxa"/>
          <w:bottom w:w="0" w:type="dxa"/>
          <w:right w:w="0" w:type="dxa"/>
        </w:tblCellMar>
      </w:tblPr>
      <w:tr>
        <w:trPr>
          <w:trHeight w:val="250"/>
        </w:trPr>
        <w:tc>
          <w:tcPr>
            <w:tcW w:w="4100" w:type="dxa"/>
            <w:vAlign w:val="bottom"/>
          </w:tcPr>
          <w:p>
            <w:pPr>
              <w:jc w:val="center"/>
              <w:ind w:right="2410"/>
              <w:spacing w:after="0"/>
              <w:rPr>
                <w:sz w:val="20"/>
                <w:szCs w:val="20"/>
                <w:color w:val="auto"/>
              </w:rPr>
            </w:pPr>
            <w:r>
              <w:rPr>
                <w:rFonts w:ascii="Arial" w:cs="Arial" w:eastAsia="Arial" w:hAnsi="Arial"/>
                <w:sz w:val="16"/>
                <w:szCs w:val="16"/>
                <w:b w:val="1"/>
                <w:bCs w:val="1"/>
                <w:color w:val="auto"/>
                <w:w w:val="99"/>
              </w:rPr>
              <w:t>Louisiana</w:t>
            </w:r>
          </w:p>
        </w:tc>
        <w:tc>
          <w:tcPr>
            <w:tcW w:w="2260" w:type="dxa"/>
            <w:vAlign w:val="bottom"/>
          </w:tcPr>
          <w:p>
            <w:pPr>
              <w:ind w:left="60"/>
              <w:spacing w:after="0"/>
              <w:rPr>
                <w:sz w:val="20"/>
                <w:szCs w:val="20"/>
                <w:color w:val="auto"/>
              </w:rPr>
            </w:pPr>
            <w:r>
              <w:rPr>
                <w:rFonts w:ascii="Arial" w:cs="Arial" w:eastAsia="Arial" w:hAnsi="Arial"/>
                <w:sz w:val="16"/>
                <w:szCs w:val="16"/>
                <w:b w:val="1"/>
                <w:bCs w:val="1"/>
                <w:color w:val="auto"/>
              </w:rPr>
              <w:t>001-38888</w:t>
            </w:r>
          </w:p>
        </w:tc>
        <w:tc>
          <w:tcPr>
            <w:tcW w:w="2480" w:type="dxa"/>
            <w:vAlign w:val="bottom"/>
          </w:tcPr>
          <w:p>
            <w:pPr>
              <w:jc w:val="right"/>
              <w:ind w:right="30"/>
              <w:spacing w:after="0"/>
              <w:rPr>
                <w:sz w:val="20"/>
                <w:szCs w:val="20"/>
                <w:color w:val="auto"/>
              </w:rPr>
            </w:pPr>
            <w:r>
              <w:rPr>
                <w:rFonts w:ascii="Arial" w:cs="Arial" w:eastAsia="Arial" w:hAnsi="Arial"/>
                <w:sz w:val="16"/>
                <w:szCs w:val="16"/>
                <w:b w:val="1"/>
                <w:bCs w:val="1"/>
                <w:color w:val="auto"/>
              </w:rPr>
              <w:t>72-1412058</w:t>
            </w:r>
          </w:p>
        </w:tc>
      </w:tr>
      <w:tr>
        <w:trPr>
          <w:trHeight w:val="138"/>
        </w:trPr>
        <w:tc>
          <w:tcPr>
            <w:tcW w:w="4100" w:type="dxa"/>
            <w:vAlign w:val="bottom"/>
          </w:tcPr>
          <w:p>
            <w:pPr>
              <w:jc w:val="center"/>
              <w:ind w:right="2410"/>
              <w:spacing w:after="0" w:line="138" w:lineRule="exact"/>
              <w:rPr>
                <w:sz w:val="20"/>
                <w:szCs w:val="20"/>
                <w:color w:val="auto"/>
              </w:rPr>
            </w:pPr>
            <w:r>
              <w:rPr>
                <w:rFonts w:ascii="Arial" w:cs="Arial" w:eastAsia="Arial" w:hAnsi="Arial"/>
                <w:sz w:val="13"/>
                <w:szCs w:val="13"/>
                <w:b w:val="1"/>
                <w:bCs w:val="1"/>
                <w:color w:val="auto"/>
                <w:w w:val="96"/>
              </w:rPr>
              <w:t>(State or Other Jurisdiction</w:t>
            </w:r>
          </w:p>
        </w:tc>
        <w:tc>
          <w:tcPr>
            <w:tcW w:w="2260" w:type="dxa"/>
            <w:vAlign w:val="bottom"/>
          </w:tcPr>
          <w:p>
            <w:pPr>
              <w:ind w:left="60"/>
              <w:spacing w:after="0" w:line="138" w:lineRule="exact"/>
              <w:rPr>
                <w:sz w:val="20"/>
                <w:szCs w:val="20"/>
                <w:color w:val="auto"/>
              </w:rPr>
            </w:pPr>
            <w:r>
              <w:rPr>
                <w:rFonts w:ascii="Arial" w:cs="Arial" w:eastAsia="Arial" w:hAnsi="Arial"/>
                <w:sz w:val="13"/>
                <w:szCs w:val="13"/>
                <w:b w:val="1"/>
                <w:bCs w:val="1"/>
                <w:color w:val="auto"/>
              </w:rPr>
              <w:t>(Commission</w:t>
            </w:r>
          </w:p>
        </w:tc>
        <w:tc>
          <w:tcPr>
            <w:tcW w:w="2480" w:type="dxa"/>
            <w:vAlign w:val="bottom"/>
          </w:tcPr>
          <w:p>
            <w:pPr>
              <w:jc w:val="center"/>
              <w:ind w:left="1350"/>
              <w:spacing w:after="0" w:line="138" w:lineRule="exact"/>
              <w:rPr>
                <w:sz w:val="20"/>
                <w:szCs w:val="20"/>
                <w:color w:val="auto"/>
              </w:rPr>
            </w:pPr>
            <w:r>
              <w:rPr>
                <w:rFonts w:ascii="Arial" w:cs="Arial" w:eastAsia="Arial" w:hAnsi="Arial"/>
                <w:sz w:val="13"/>
                <w:szCs w:val="13"/>
                <w:b w:val="1"/>
                <w:bCs w:val="1"/>
                <w:color w:val="auto"/>
                <w:w w:val="96"/>
              </w:rPr>
              <w:t>(IRS Employer</w:t>
            </w:r>
          </w:p>
        </w:tc>
      </w:tr>
      <w:tr>
        <w:trPr>
          <w:trHeight w:val="172"/>
        </w:trPr>
        <w:tc>
          <w:tcPr>
            <w:tcW w:w="4100" w:type="dxa"/>
            <w:vAlign w:val="bottom"/>
          </w:tcPr>
          <w:p>
            <w:pPr>
              <w:jc w:val="center"/>
              <w:ind w:right="2410"/>
              <w:spacing w:after="0"/>
              <w:rPr>
                <w:sz w:val="20"/>
                <w:szCs w:val="20"/>
                <w:color w:val="auto"/>
              </w:rPr>
            </w:pPr>
            <w:r>
              <w:rPr>
                <w:rFonts w:ascii="Arial" w:cs="Arial" w:eastAsia="Arial" w:hAnsi="Arial"/>
                <w:sz w:val="13"/>
                <w:szCs w:val="13"/>
                <w:b w:val="1"/>
                <w:bCs w:val="1"/>
                <w:color w:val="auto"/>
                <w:w w:val="98"/>
              </w:rPr>
              <w:t>of Incorporation)</w:t>
            </w:r>
          </w:p>
        </w:tc>
        <w:tc>
          <w:tcPr>
            <w:tcW w:w="2260" w:type="dxa"/>
            <w:vAlign w:val="bottom"/>
          </w:tcPr>
          <w:p>
            <w:pPr>
              <w:ind w:left="60"/>
              <w:spacing w:after="0"/>
              <w:rPr>
                <w:sz w:val="20"/>
                <w:szCs w:val="20"/>
                <w:color w:val="auto"/>
              </w:rPr>
            </w:pPr>
            <w:r>
              <w:rPr>
                <w:rFonts w:ascii="Arial" w:cs="Arial" w:eastAsia="Arial" w:hAnsi="Arial"/>
                <w:sz w:val="13"/>
                <w:szCs w:val="13"/>
                <w:b w:val="1"/>
                <w:bCs w:val="1"/>
                <w:color w:val="auto"/>
              </w:rPr>
              <w:t>File Number)</w:t>
            </w:r>
          </w:p>
        </w:tc>
        <w:tc>
          <w:tcPr>
            <w:tcW w:w="2480" w:type="dxa"/>
            <w:vAlign w:val="bottom"/>
          </w:tcPr>
          <w:p>
            <w:pPr>
              <w:jc w:val="center"/>
              <w:ind w:left="1350"/>
              <w:spacing w:after="0"/>
              <w:rPr>
                <w:sz w:val="20"/>
                <w:szCs w:val="20"/>
                <w:color w:val="auto"/>
              </w:rPr>
            </w:pPr>
            <w:r>
              <w:rPr>
                <w:rFonts w:ascii="Arial" w:cs="Arial" w:eastAsia="Arial" w:hAnsi="Arial"/>
                <w:sz w:val="13"/>
                <w:szCs w:val="13"/>
                <w:b w:val="1"/>
                <w:bCs w:val="1"/>
                <w:color w:val="auto"/>
                <w:w w:val="96"/>
              </w:rPr>
              <w:t>Identification No.)</w:t>
            </w:r>
          </w:p>
        </w:tc>
      </w:tr>
      <w:tr>
        <w:trPr>
          <w:trHeight w:val="303"/>
        </w:trPr>
        <w:tc>
          <w:tcPr>
            <w:tcW w:w="6360" w:type="dxa"/>
            <w:vAlign w:val="bottom"/>
            <w:gridSpan w:val="2"/>
          </w:tcPr>
          <w:p>
            <w:pPr>
              <w:jc w:val="center"/>
              <w:ind w:right="931"/>
              <w:spacing w:after="0"/>
              <w:rPr>
                <w:sz w:val="20"/>
                <w:szCs w:val="20"/>
                <w:color w:val="auto"/>
              </w:rPr>
            </w:pPr>
            <w:r>
              <w:rPr>
                <w:rFonts w:ascii="Arial" w:cs="Arial" w:eastAsia="Arial" w:hAnsi="Arial"/>
                <w:sz w:val="14"/>
                <w:szCs w:val="14"/>
                <w:b w:val="1"/>
                <w:bCs w:val="1"/>
                <w:color w:val="auto"/>
              </w:rPr>
              <w:t>1412 Centre Court Drive, Suite 301, Alexandria, Louisiana</w:t>
            </w:r>
          </w:p>
        </w:tc>
        <w:tc>
          <w:tcPr>
            <w:tcW w:w="2480" w:type="dxa"/>
            <w:vAlign w:val="bottom"/>
          </w:tcPr>
          <w:p>
            <w:pPr>
              <w:jc w:val="right"/>
              <w:ind w:right="270"/>
              <w:spacing w:after="0"/>
              <w:rPr>
                <w:sz w:val="20"/>
                <w:szCs w:val="20"/>
                <w:color w:val="auto"/>
              </w:rPr>
            </w:pPr>
            <w:r>
              <w:rPr>
                <w:rFonts w:ascii="Arial" w:cs="Arial" w:eastAsia="Arial" w:hAnsi="Arial"/>
                <w:sz w:val="14"/>
                <w:szCs w:val="14"/>
                <w:b w:val="1"/>
                <w:bCs w:val="1"/>
                <w:color w:val="auto"/>
              </w:rPr>
              <w:t>71301</w:t>
            </w:r>
          </w:p>
        </w:tc>
      </w:tr>
      <w:tr>
        <w:trPr>
          <w:trHeight w:val="203"/>
        </w:trPr>
        <w:tc>
          <w:tcPr>
            <w:tcW w:w="4100" w:type="dxa"/>
            <w:vAlign w:val="bottom"/>
          </w:tcPr>
          <w:p>
            <w:pPr>
              <w:jc w:val="center"/>
              <w:ind w:left="1210"/>
              <w:spacing w:after="0"/>
              <w:rPr>
                <w:sz w:val="20"/>
                <w:szCs w:val="20"/>
                <w:color w:val="auto"/>
              </w:rPr>
            </w:pPr>
            <w:r>
              <w:rPr>
                <w:rFonts w:ascii="Arial" w:cs="Arial" w:eastAsia="Arial" w:hAnsi="Arial"/>
                <w:sz w:val="14"/>
                <w:szCs w:val="14"/>
                <w:b w:val="1"/>
                <w:bCs w:val="1"/>
                <w:color w:val="auto"/>
              </w:rPr>
              <w:t>(Address of Principal Executive Offices)</w:t>
            </w:r>
          </w:p>
        </w:tc>
        <w:tc>
          <w:tcPr>
            <w:tcW w:w="2260" w:type="dxa"/>
            <w:vAlign w:val="bottom"/>
          </w:tcPr>
          <w:p>
            <w:pPr>
              <w:spacing w:after="0"/>
              <w:rPr>
                <w:sz w:val="17"/>
                <w:szCs w:val="17"/>
                <w:color w:val="auto"/>
              </w:rPr>
            </w:pPr>
          </w:p>
        </w:tc>
        <w:tc>
          <w:tcPr>
            <w:tcW w:w="2480" w:type="dxa"/>
            <w:vAlign w:val="bottom"/>
          </w:tcPr>
          <w:p>
            <w:pPr>
              <w:jc w:val="center"/>
              <w:ind w:left="1330"/>
              <w:spacing w:after="0"/>
              <w:rPr>
                <w:sz w:val="20"/>
                <w:szCs w:val="20"/>
                <w:color w:val="auto"/>
              </w:rPr>
            </w:pPr>
            <w:r>
              <w:rPr>
                <w:rFonts w:ascii="Arial" w:cs="Arial" w:eastAsia="Arial" w:hAnsi="Arial"/>
                <w:sz w:val="14"/>
                <w:szCs w:val="14"/>
                <w:b w:val="1"/>
                <w:bCs w:val="1"/>
                <w:color w:val="auto"/>
              </w:rPr>
              <w:t>(Zip Code)</w:t>
            </w:r>
          </w:p>
        </w:tc>
      </w:tr>
    </w:tbl>
    <w:p>
      <w:pPr>
        <w:spacing w:after="0" w:line="3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(318) 561-4000</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27"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0"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600" w:type="dxa"/>
            <w:vAlign w:val="bottom"/>
          </w:tcPr>
          <w:p>
            <w:pPr>
              <w:jc w:val="center"/>
              <w:ind w:right="205"/>
              <w:spacing w:after="0"/>
              <w:rPr>
                <w:sz w:val="20"/>
                <w:szCs w:val="20"/>
                <w:color w:val="auto"/>
              </w:rPr>
            </w:pPr>
            <w:r>
              <w:rPr>
                <w:rFonts w:ascii="Arial" w:cs="Arial" w:eastAsia="Arial" w:hAnsi="Arial"/>
                <w:sz w:val="14"/>
                <w:szCs w:val="14"/>
                <w:b w:val="1"/>
                <w:bCs w:val="1"/>
                <w:color w:val="auto"/>
              </w:rPr>
              <w:t>Trading</w:t>
            </w:r>
          </w:p>
        </w:tc>
        <w:tc>
          <w:tcPr>
            <w:tcW w:w="4720" w:type="dxa"/>
            <w:vAlign w:val="bottom"/>
          </w:tcPr>
          <w:p>
            <w:pPr>
              <w:jc w:val="center"/>
              <w:ind w:right="165"/>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89"/>
        </w:trPr>
        <w:tc>
          <w:tcPr>
            <w:tcW w:w="3860" w:type="dxa"/>
            <w:vAlign w:val="bottom"/>
            <w:tcBorders>
              <w:bottom w:val="single" w:sz="8" w:color="auto"/>
            </w:tcBorders>
            <w:vMerge w:val="continue"/>
          </w:tcPr>
          <w:p>
            <w:pPr>
              <w:spacing w:after="0"/>
              <w:rPr>
                <w:sz w:val="16"/>
                <w:szCs w:val="16"/>
                <w:color w:val="auto"/>
              </w:rPr>
            </w:pPr>
          </w:p>
        </w:tc>
        <w:tc>
          <w:tcPr>
            <w:tcW w:w="260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Symbol(s)</w:t>
            </w:r>
          </w:p>
        </w:tc>
        <w:tc>
          <w:tcPr>
            <w:tcW w:w="472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16"/>
        </w:trPr>
        <w:tc>
          <w:tcPr>
            <w:tcW w:w="3860" w:type="dxa"/>
            <w:vAlign w:val="bottom"/>
          </w:tcPr>
          <w:p>
            <w:pPr>
              <w:jc w:val="center"/>
              <w:spacing w:after="0"/>
              <w:rPr>
                <w:sz w:val="20"/>
                <w:szCs w:val="20"/>
                <w:color w:val="auto"/>
              </w:rPr>
            </w:pPr>
            <w:r>
              <w:rPr>
                <w:rFonts w:ascii="Arial" w:cs="Arial" w:eastAsia="Arial" w:hAnsi="Arial"/>
                <w:sz w:val="16"/>
                <w:szCs w:val="16"/>
                <w:b w:val="1"/>
                <w:bCs w:val="1"/>
                <w:color w:val="auto"/>
              </w:rPr>
              <w:t>Common Stock, no par value</w:t>
            </w:r>
          </w:p>
        </w:tc>
        <w:tc>
          <w:tcPr>
            <w:tcW w:w="2600" w:type="dxa"/>
            <w:vAlign w:val="bottom"/>
          </w:tcPr>
          <w:p>
            <w:pPr>
              <w:jc w:val="center"/>
              <w:ind w:right="165"/>
              <w:spacing w:after="0"/>
              <w:rPr>
                <w:sz w:val="20"/>
                <w:szCs w:val="20"/>
                <w:color w:val="auto"/>
              </w:rPr>
            </w:pPr>
            <w:r>
              <w:rPr>
                <w:rFonts w:ascii="Arial" w:cs="Arial" w:eastAsia="Arial" w:hAnsi="Arial"/>
                <w:sz w:val="16"/>
                <w:szCs w:val="16"/>
                <w:b w:val="1"/>
                <w:bCs w:val="1"/>
                <w:color w:val="auto"/>
              </w:rPr>
              <w:t>RRBI</w:t>
            </w:r>
          </w:p>
        </w:tc>
        <w:tc>
          <w:tcPr>
            <w:tcW w:w="4720" w:type="dxa"/>
            <w:vAlign w:val="bottom"/>
          </w:tcPr>
          <w:p>
            <w:pPr>
              <w:jc w:val="center"/>
              <w:ind w:right="145"/>
              <w:spacing w:after="0"/>
              <w:rPr>
                <w:sz w:val="20"/>
                <w:szCs w:val="20"/>
                <w:color w:val="auto"/>
              </w:rPr>
            </w:pPr>
            <w:r>
              <w:rPr>
                <w:rFonts w:ascii="Arial" w:cs="Arial" w:eastAsia="Arial" w:hAnsi="Arial"/>
                <w:sz w:val="16"/>
                <w:szCs w:val="16"/>
                <w:b w:val="1"/>
                <w:bCs w:val="1"/>
                <w:color w:val="auto"/>
              </w:rPr>
              <w:t>The Nasdaq Stock Market, LLC</w:t>
            </w:r>
          </w:p>
        </w:tc>
        <w:tc>
          <w:tcPr>
            <w:tcW w:w="0" w:type="dxa"/>
            <w:vAlign w:val="bottom"/>
          </w:tcPr>
          <w:p>
            <w:pPr>
              <w:spacing w:after="0"/>
              <w:rPr>
                <w:sz w:val="1"/>
                <w:szCs w:val="1"/>
                <w:color w:val="auto"/>
              </w:rPr>
            </w:pPr>
          </w:p>
        </w:tc>
      </w:tr>
    </w:tbl>
    <w:p>
      <w:pPr>
        <w:spacing w:after="0" w:line="299"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92"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 w:name="page2"/>
    <w:bookmarkEnd w:id="1"/>
    <w:p>
      <w:pPr>
        <w:ind w:right="360"/>
        <w:spacing w:after="0" w:line="29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13" w:lineRule="exact"/>
        <w:rPr>
          <w:sz w:val="20"/>
          <w:szCs w:val="20"/>
          <w:color w:val="auto"/>
        </w:rPr>
      </w:pPr>
    </w:p>
    <w:p>
      <w:pPr>
        <w:ind w:right="40" w:firstLine="648"/>
        <w:spacing w:after="0" w:line="261" w:lineRule="auto"/>
        <w:rPr>
          <w:sz w:val="20"/>
          <w:szCs w:val="20"/>
          <w:color w:val="auto"/>
        </w:rPr>
      </w:pPr>
      <w:r>
        <w:rPr>
          <w:rFonts w:ascii="Arial" w:cs="Arial" w:eastAsia="Arial" w:hAnsi="Arial"/>
          <w:sz w:val="16"/>
          <w:szCs w:val="16"/>
          <w:color w:val="auto"/>
        </w:rPr>
        <w:t>On May 28, 2026, the board of directors (the “Board”) of Red River Bancshares, Inc. (the “Company”) appointed A. Peyton Bush, IV and R. Chance DeWitt, M.D. to serve as directors of the Company and Red River Bank, its wholly-owned subsidiary, effective May 28, 2026. Mr. Bush and Dr. DeWitt will stand for election at the Company’s 2027 annual meeting of shareholders. Each was appointed to serve on the Directors' Loan Committee of Red River Bank. Neither Mr. Bush nor Dr. DeWitt has been appointed to any committees of the Company, and no appointment to any committee of the Company is expected at this time. The Company will file an amendment to this Current Report on Form 8-K within four business days of the appointment of Mr. Bush or Dr. DeWitt to any committee of the Board.</w:t>
      </w:r>
    </w:p>
    <w:p>
      <w:pPr>
        <w:spacing w:after="0" w:line="149" w:lineRule="exact"/>
        <w:rPr>
          <w:sz w:val="20"/>
          <w:szCs w:val="20"/>
          <w:color w:val="auto"/>
        </w:rPr>
      </w:pPr>
    </w:p>
    <w:p>
      <w:pPr>
        <w:ind w:right="80" w:firstLine="648"/>
        <w:spacing w:after="0" w:line="259" w:lineRule="auto"/>
        <w:rPr>
          <w:sz w:val="20"/>
          <w:szCs w:val="20"/>
          <w:color w:val="auto"/>
        </w:rPr>
      </w:pPr>
      <w:r>
        <w:rPr>
          <w:rFonts w:ascii="Arial" w:cs="Arial" w:eastAsia="Arial" w:hAnsi="Arial"/>
          <w:sz w:val="16"/>
          <w:szCs w:val="16"/>
          <w:color w:val="auto"/>
        </w:rPr>
        <w:t>The Board has determined that Mr. Bush and Dr. DeWitt are independent under the applicable listing standards of the Nasdaq Stock Market. There is no arrangement or understanding between either Mr. Bush or Dr. DeWitt and any other person pursuant to which either was selected as a director of the Company, and there is no family relationship between either Mr. Bush or Dr. DeWitt and any of the Company’s other directors or executive officers. Neither Mr. Bush nor Dr. DeWitt has a material interest in any transaction that is required to be disclosed under Item 404(a) of Regulation S-K, other than deposits, loans, and other financial services related transactions with Red River Bank made in the ordinary course of business, on substantially the same terms, including interest rates and collateral (where applicable), as those prevailing at the time for comparable transactions with persons not related to the Company or Red River Bank, and do not involve more than a normal risk of collectability or present other features unfavorable to Red River Bank.</w:t>
      </w:r>
    </w:p>
    <w:p>
      <w:pPr>
        <w:spacing w:after="0" w:line="149" w:lineRule="exact"/>
        <w:rPr>
          <w:sz w:val="20"/>
          <w:szCs w:val="20"/>
          <w:color w:val="auto"/>
        </w:rPr>
      </w:pPr>
    </w:p>
    <w:p>
      <w:pPr>
        <w:ind w:right="100" w:firstLine="648"/>
        <w:spacing w:after="0" w:line="275" w:lineRule="auto"/>
        <w:rPr>
          <w:sz w:val="20"/>
          <w:szCs w:val="20"/>
          <w:color w:val="auto"/>
        </w:rPr>
      </w:pPr>
      <w:r>
        <w:rPr>
          <w:rFonts w:ascii="Arial" w:cs="Arial" w:eastAsia="Arial" w:hAnsi="Arial"/>
          <w:sz w:val="16"/>
          <w:szCs w:val="16"/>
          <w:color w:val="auto"/>
        </w:rPr>
        <w:t>Mr. Bush and Dr. DeWitt will participate in the Company’s non-employee director compensation program. A complete description of the Company’s non-employee director compensation program is set forth in the Company’s proxy statement for the 2026 annual meeting of shareholders, filed with the Securities and Exchange Commission on March 13, 2026.</w:t>
      </w:r>
    </w:p>
    <w:p>
      <w:pPr>
        <w:spacing w:after="0" w:line="124"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7.01</w:t>
        <w:tab/>
        <w:t>Regulation FD Disclosure.</w:t>
      </w:r>
    </w:p>
    <w:p>
      <w:pPr>
        <w:spacing w:after="0" w:line="194" w:lineRule="exact"/>
        <w:rPr>
          <w:sz w:val="20"/>
          <w:szCs w:val="20"/>
          <w:color w:val="auto"/>
        </w:rPr>
      </w:pPr>
    </w:p>
    <w:p>
      <w:pPr>
        <w:ind w:right="140" w:firstLine="648"/>
        <w:spacing w:after="0" w:line="261" w:lineRule="auto"/>
        <w:rPr>
          <w:sz w:val="20"/>
          <w:szCs w:val="20"/>
          <w:color w:val="auto"/>
        </w:rPr>
      </w:pPr>
      <w:r>
        <w:rPr>
          <w:rFonts w:ascii="Arial" w:cs="Arial" w:eastAsia="Arial" w:hAnsi="Arial"/>
          <w:sz w:val="16"/>
          <w:szCs w:val="16"/>
          <w:color w:val="auto"/>
        </w:rPr>
        <w:t>On May 28, 2026, the Company issued a press release announcing the appointment of Mr. Bush and Dr. DeWitt. A copy of the press release is attached as Exhibit 99.1 to this Current Report on Form 8-K and is incorporated by reference in this Item 7.01. As provided in General Instruction B.2. to Form 8-K, the information furnished in Item 7.01 and Exhibit 99.1 of this Current Report on Form 8-K shall not be deemed “filed” for purposes of Section 18 of the Securities Exchange Act of 1934, as amended (the “Exchange Act”), or otherwise subject to the liabilities of that section, and such information shall not be deemed incorporated by reference in any filing under the Securities Act of 1933, as amended, or the Exchange Act, except as shall be expressly set forth by specific reference in such filing.</w:t>
      </w:r>
    </w:p>
    <w:p>
      <w:pPr>
        <w:spacing w:after="0" w:line="149"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81"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 The following are furnished as exhibits to this Current Report on Form 8-K.</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02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Description of Exhibit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0" w:type="dxa"/>
            <w:vAlign w:val="bottom"/>
          </w:tcPr>
          <w:p>
            <w:pPr>
              <w:spacing w:after="0" w:line="175" w:lineRule="exact"/>
              <w:rPr>
                <w:sz w:val="20"/>
                <w:szCs w:val="20"/>
                <w:color w:val="auto"/>
              </w:rPr>
            </w:pPr>
            <w:r>
              <w:rPr>
                <w:rFonts w:ascii="Arial" w:cs="Arial" w:eastAsia="Arial" w:hAnsi="Arial"/>
                <w:sz w:val="16"/>
                <w:szCs w:val="16"/>
                <w:b w:val="1"/>
                <w:bCs w:val="1"/>
                <w:color w:val="auto"/>
                <w:w w:val="99"/>
              </w:rPr>
              <w:t>Number</w:t>
            </w:r>
          </w:p>
        </w:tc>
        <w:tc>
          <w:tcPr>
            <w:tcW w:w="380" w:type="dxa"/>
            <w:vAlign w:val="bottom"/>
          </w:tcPr>
          <w:p>
            <w:pPr>
              <w:spacing w:after="0"/>
              <w:rPr>
                <w:sz w:val="15"/>
                <w:szCs w:val="15"/>
                <w:color w:val="auto"/>
              </w:rPr>
            </w:pPr>
          </w:p>
        </w:tc>
        <w:tc>
          <w:tcPr>
            <w:tcW w:w="10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6"/>
                <w:szCs w:val="16"/>
                <w:color w:val="auto"/>
              </w:rPr>
              <w:t>99.1</w:t>
            </w:r>
          </w:p>
        </w:tc>
        <w:tc>
          <w:tcPr>
            <w:tcW w:w="38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6"/>
                <w:szCs w:val="16"/>
                <w:color w:val="0000FF"/>
              </w:rPr>
              <w:t>Press Release, dated May 28, 2026, announcing Board changes</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20" w:type="dxa"/>
            <w:vAlign w:val="bottom"/>
            <w:gridSpan w:val="2"/>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40" w:type="dxa"/>
            <w:vAlign w:val="bottom"/>
            <w:gridSpan w:val="2"/>
          </w:tcPr>
          <w:p>
            <w:pPr>
              <w:ind w:left="20"/>
              <w:spacing w:after="0"/>
              <w:rPr>
                <w:sz w:val="20"/>
                <w:szCs w:val="20"/>
                <w:color w:val="auto"/>
              </w:rPr>
            </w:pPr>
            <w:r>
              <w:rPr>
                <w:rFonts w:ascii="Arial" w:cs="Arial" w:eastAsia="Arial" w:hAnsi="Arial"/>
                <w:sz w:val="16"/>
                <w:szCs w:val="16"/>
                <w:color w:val="auto"/>
              </w:rPr>
              <w:t>104</w:t>
            </w:r>
          </w:p>
        </w:tc>
        <w:tc>
          <w:tcPr>
            <w:tcW w:w="380" w:type="dxa"/>
            <w:vAlign w:val="bottom"/>
          </w:tcPr>
          <w:p>
            <w:pPr>
              <w:spacing w:after="0"/>
              <w:rPr>
                <w:sz w:val="24"/>
                <w:szCs w:val="24"/>
                <w:color w:val="auto"/>
              </w:rPr>
            </w:pPr>
          </w:p>
        </w:tc>
        <w:tc>
          <w:tcPr>
            <w:tcW w:w="10220" w:type="dxa"/>
            <w:vAlign w:val="bottom"/>
            <w:gridSpan w:val="3"/>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981"/>
        </w:trPr>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firstLine="324"/>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Dated: May 28, 2026</w:t>
      </w:r>
    </w:p>
    <w:p>
      <w:pPr>
        <w:spacing w:after="0" w:line="329"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RED RIVER BANCSHARES, INC.</w:t>
      </w:r>
    </w:p>
    <w:p>
      <w:pPr>
        <w:spacing w:after="0" w:line="343" w:lineRule="exact"/>
        <w:rPr>
          <w:sz w:val="20"/>
          <w:szCs w:val="20"/>
          <w:color w:val="auto"/>
        </w:rPr>
      </w:pPr>
    </w:p>
    <w:p>
      <w:pPr>
        <w:ind w:left="3800"/>
        <w:spacing w:after="0"/>
        <w:tabs>
          <w:tab w:leader="none" w:pos="4220" w:val="left"/>
        </w:tabs>
        <w:rPr>
          <w:sz w:val="20"/>
          <w:szCs w:val="20"/>
          <w:color w:val="auto"/>
        </w:rPr>
      </w:pPr>
      <w:r>
        <w:rPr>
          <w:rFonts w:ascii="Arial" w:cs="Arial" w:eastAsia="Arial" w:hAnsi="Arial"/>
          <w:sz w:val="16"/>
          <w:szCs w:val="16"/>
          <w:color w:val="auto"/>
        </w:rPr>
        <w:t>By:</w:t>
        <w:tab/>
        <w:t>/s/ Julia E. Callis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20955</wp:posOffset>
            </wp:positionV>
            <wp:extent cx="2888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53"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Julia E. Callis</w:t>
      </w:r>
    </w:p>
    <w:p>
      <w:pPr>
        <w:spacing w:after="0" w:line="26"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Executive Vice President, General Counsel, and Corporate</w:t>
      </w:r>
    </w:p>
    <w:p>
      <w:pPr>
        <w:ind w:left="4240"/>
        <w:spacing w:after="0"/>
        <w:rPr>
          <w:sz w:val="20"/>
          <w:szCs w:val="20"/>
          <w:color w:val="auto"/>
        </w:rPr>
      </w:pPr>
      <w:r>
        <w:rPr>
          <w:rFonts w:ascii="Arial" w:cs="Arial" w:eastAsia="Arial" w:hAnsi="Arial"/>
          <w:sz w:val="16"/>
          <w:szCs w:val="16"/>
          <w:color w:val="auto"/>
        </w:rPr>
        <w:t>Secretary</w:t>
      </w:r>
    </w:p>
    <w:p>
      <w:pPr>
        <w:sectPr>
          <w:pgSz w:w="11900" w:h="16838" w:orient="portrait"/>
          <w:cols w:equalWidth="0" w:num="1">
            <w:col w:w="10600"/>
          </w:cols>
          <w:pgMar w:left="320" w:top="895"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586105</wp:posOffset>
            </wp:positionV>
            <wp:extent cx="2297430"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9743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340" w:right="1640"/>
        <w:spacing w:after="0" w:line="261" w:lineRule="auto"/>
        <w:rPr>
          <w:sz w:val="20"/>
          <w:szCs w:val="20"/>
          <w:color w:val="auto"/>
        </w:rPr>
      </w:pPr>
      <w:r>
        <w:rPr>
          <w:rFonts w:ascii="Arial" w:cs="Arial" w:eastAsia="Arial" w:hAnsi="Arial"/>
          <w:sz w:val="25"/>
          <w:szCs w:val="25"/>
          <w:b w:val="1"/>
          <w:bCs w:val="1"/>
          <w:color w:val="auto"/>
        </w:rPr>
        <w:t>Red River Bancshares, Inc. Recognizes Kirk D. Cooper for his Service and Announces Appointment of A. Peyton Bush, IV and R. Chance DeWitt, M.D. to Board of Directors</w:t>
      </w:r>
    </w:p>
    <w:p>
      <w:pPr>
        <w:spacing w:after="0" w:line="172" w:lineRule="exact"/>
        <w:rPr>
          <w:sz w:val="20"/>
          <w:szCs w:val="20"/>
          <w:color w:val="auto"/>
        </w:rPr>
      </w:pPr>
    </w:p>
    <w:p>
      <w:pPr>
        <w:ind w:right="180"/>
        <w:spacing w:after="0"/>
        <w:rPr>
          <w:sz w:val="20"/>
          <w:szCs w:val="20"/>
          <w:color w:val="auto"/>
        </w:rPr>
      </w:pPr>
      <w:r>
        <w:rPr>
          <w:rFonts w:ascii="Arial" w:cs="Arial" w:eastAsia="Arial" w:hAnsi="Arial"/>
          <w:sz w:val="20"/>
          <w:szCs w:val="20"/>
          <w:color w:val="auto"/>
        </w:rPr>
        <w:t xml:space="preserve">ALEXANDRIA, La., May 28, 2026 (GLOBE NEWSWIRE) – Red River Bancshares, Inc. (Nasdaq: </w:t>
      </w:r>
      <w:r>
        <w:rPr>
          <w:rFonts w:ascii="Arial" w:cs="Arial" w:eastAsia="Arial" w:hAnsi="Arial"/>
          <w:sz w:val="20"/>
          <w:szCs w:val="20"/>
          <w:color w:val="333333"/>
        </w:rPr>
        <w:t>RRBI</w:t>
      </w:r>
      <w:r>
        <w:rPr>
          <w:rFonts w:ascii="Arial" w:cs="Arial" w:eastAsia="Arial" w:hAnsi="Arial"/>
          <w:sz w:val="20"/>
          <w:szCs w:val="20"/>
          <w:color w:val="auto"/>
        </w:rPr>
        <w:t>) (the “Company”) announced today the retirement of long-serving board member Kirk D. Cooper from the boards of the Company and Red River Bank (the “Bank”), effective May 7, 2026, and the appointment of A. Peyton Bush, IV and R. Chance DeWitt, M.D. to the board of directors of the Company and the Bank, effective May 28, 2026.</w:t>
      </w:r>
    </w:p>
    <w:p>
      <w:pPr>
        <w:spacing w:after="0" w:line="201" w:lineRule="exact"/>
        <w:rPr>
          <w:sz w:val="20"/>
          <w:szCs w:val="20"/>
          <w:color w:val="auto"/>
        </w:rPr>
      </w:pPr>
    </w:p>
    <w:p>
      <w:pPr>
        <w:ind w:right="260"/>
        <w:spacing w:after="0" w:line="244" w:lineRule="auto"/>
        <w:rPr>
          <w:sz w:val="20"/>
          <w:szCs w:val="20"/>
          <w:color w:val="auto"/>
        </w:rPr>
      </w:pPr>
      <w:r>
        <w:rPr>
          <w:rFonts w:ascii="Arial" w:cs="Arial" w:eastAsia="Arial" w:hAnsi="Arial"/>
          <w:sz w:val="20"/>
          <w:szCs w:val="20"/>
          <w:color w:val="auto"/>
        </w:rPr>
        <w:t>Mr. Cooper, a founding director who has served on the board of the Company since 1998, and the Bank since 1999, retired at the Company’s annual shareholder meeting on May 7, 2026. Blake Chatelain, President and Chief Executive Officer of the Company, said, “For more than 25 years, since we created the Bank, Kirk has served as an insightful and dedicated leader, providing guidance and support to our team. The entire board and management join me in thanking Kirk for his many contributions and wishing him the very best in retirement.”</w:t>
      </w:r>
    </w:p>
    <w:p>
      <w:pPr>
        <w:spacing w:after="0" w:line="208" w:lineRule="exact"/>
        <w:rPr>
          <w:sz w:val="20"/>
          <w:szCs w:val="20"/>
          <w:color w:val="auto"/>
        </w:rPr>
      </w:pPr>
    </w:p>
    <w:p>
      <w:pPr>
        <w:ind w:right="180"/>
        <w:spacing w:after="0" w:line="256" w:lineRule="auto"/>
        <w:rPr>
          <w:sz w:val="20"/>
          <w:szCs w:val="20"/>
          <w:color w:val="auto"/>
        </w:rPr>
      </w:pPr>
      <w:r>
        <w:rPr>
          <w:rFonts w:ascii="Arial" w:cs="Arial" w:eastAsia="Arial" w:hAnsi="Arial"/>
          <w:sz w:val="19"/>
          <w:szCs w:val="19"/>
          <w:color w:val="auto"/>
        </w:rPr>
        <w:t>Mr. Bush and Dr. DeWitt were elected to fill the vacancy created by Mr. Cooper’s retirement and the resignation of another director last year. Mr. Chatelain said, “Peyton and Chance are outstanding additions whose experience and capabilities are directly aligned with our priorities. Peyton’s extensive investment management experience and deep financial expertise, combined with Chance’s breadth of leadership across healthcare and strong community connections in markets we serve, will strengthen our boards as we continue to execute our strategy to deliver exceptional value to our customers and shareholders.”</w:t>
      </w:r>
    </w:p>
    <w:p>
      <w:pPr>
        <w:spacing w:after="0" w:line="185" w:lineRule="exact"/>
        <w:rPr>
          <w:sz w:val="20"/>
          <w:szCs w:val="20"/>
          <w:color w:val="auto"/>
        </w:rPr>
      </w:pPr>
    </w:p>
    <w:p>
      <w:pPr>
        <w:ind w:right="180"/>
        <w:spacing w:after="0"/>
        <w:rPr>
          <w:sz w:val="20"/>
          <w:szCs w:val="20"/>
          <w:color w:val="auto"/>
        </w:rPr>
      </w:pPr>
      <w:r>
        <w:rPr>
          <w:rFonts w:ascii="Arial" w:cs="Arial" w:eastAsia="Arial" w:hAnsi="Arial"/>
          <w:sz w:val="20"/>
          <w:szCs w:val="20"/>
          <w:color w:val="auto"/>
        </w:rPr>
        <w:t>Bush, who resides in New Orleans, Louisiana, serves as the Chief Investment Officer of Bollinger Enterprises, LLC, a single-family investment office, where he oversees all investment activities and asset allocation. He has also served as vice president at LongueVue Capital, a New Orleans-based private equity firm, Highland Capital Management, a multi-strategy alternative investment firm in Dallas, Texas, and JP Morgan Securities.</w:t>
      </w:r>
    </w:p>
    <w:p>
      <w:pPr>
        <w:spacing w:after="0" w:line="214"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color w:val="auto"/>
        </w:rPr>
        <w:t>DeWitt, who resides in Lafayette, Louisiana, is a cardiothoracic and vascular surgeon with Lourdes Cardiovascular Clinic. He serves as the director of cardiac rehabilitation and the medical director of the Structural Heart Program at Our Lady of Lourdes Heart Hospital. A native of Alexandria, Louisiana, Dr. DeWitt graduated from LSU Medical College in Shreveport, Louisiana, completing his residency in General Surgery at the University of Tennessee at Memphis and his fellowship in Thoracic Surgery at the University of Texas in Houston at Texas Heart Institute. He is board certified with the American College of Surgeons and the American College of Thoracic Surgeons.</w:t>
      </w:r>
    </w:p>
    <w:p>
      <w:pPr>
        <w:spacing w:after="0" w:line="203"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color w:val="auto"/>
        </w:rPr>
        <w:t>Following these changes, the Company will have ten directors. As part of its commitment to strong governance, the board will continue to evaluate opportunities to enhance its composition in support of the Company’s strategy.</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About Red River Bancshares, Inc.</w:t>
      </w:r>
    </w:p>
    <w:p>
      <w:pPr>
        <w:spacing w:after="0" w:line="6" w:lineRule="exact"/>
        <w:rPr>
          <w:sz w:val="20"/>
          <w:szCs w:val="20"/>
          <w:color w:val="auto"/>
        </w:rPr>
      </w:pPr>
    </w:p>
    <w:p>
      <w:pPr>
        <w:ind w:right="180"/>
        <w:spacing w:after="0" w:line="239" w:lineRule="auto"/>
        <w:rPr>
          <w:sz w:val="20"/>
          <w:szCs w:val="20"/>
          <w:color w:val="auto"/>
        </w:rPr>
      </w:pPr>
      <w:r>
        <w:rPr>
          <w:rFonts w:ascii="Arial" w:cs="Arial" w:eastAsia="Arial" w:hAnsi="Arial"/>
          <w:sz w:val="20"/>
          <w:szCs w:val="20"/>
          <w:color w:val="333333"/>
        </w:rPr>
        <w:t>The Company is the bank holding company for Red River Bank, a Louisiana state-chartered bank established in 1999 that provides a fully integrated suite of banking products and services tailored to the needs of our commercial and retail customers. Red River Bank operates from a network of 28 banking</w:t>
      </w:r>
    </w:p>
    <w:p>
      <w:pPr>
        <w:sectPr>
          <w:pgSz w:w="11900" w:h="16838" w:orient="portrait"/>
          <w:cols w:equalWidth="0" w:num="1">
            <w:col w:w="11240"/>
          </w:cols>
          <w:pgMar w:left="320" w:top="98" w:right="339" w:bottom="1440" w:gutter="0" w:footer="0" w:header="0"/>
        </w:sectPr>
      </w:pPr>
    </w:p>
    <w:bookmarkStart w:id="4" w:name="page5"/>
    <w:bookmarkEnd w:id="4"/>
    <w:p>
      <w:pPr>
        <w:spacing w:after="0" w:line="237" w:lineRule="auto"/>
        <w:rPr>
          <w:sz w:val="20"/>
          <w:szCs w:val="20"/>
          <w:color w:val="auto"/>
        </w:rPr>
      </w:pPr>
      <w:r>
        <w:rPr>
          <w:rFonts w:ascii="Arial" w:cs="Arial" w:eastAsia="Arial" w:hAnsi="Arial"/>
          <w:sz w:val="20"/>
          <w:szCs w:val="20"/>
          <w:color w:val="333333"/>
        </w:rPr>
        <w:t>centers throughout Louisiana and three combined loan and deposit production offices, one each in New Orleans, Louisiana, Lafayette, Louisiana, and Shreveport, Louisiana. Banking centers are located in the following Louisiana markets: Central, which includes the Alexandria metropolitan statistical area ("MSA"); Northwest, which includes the Shreveport-Bossier City MSA; Capital, which includes the Baton Rouge MSA; Southwest, which includes the Lake Charles MSA; the Northshore, which includes the Slidell-Mandeville-Covington MSA; Acadiana, which includes the Lafayette MSA; and New Orleans, which includes the New Orleans-Metairie MSA.</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333333"/>
        </w:rPr>
        <w:t>Contact: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333333"/>
        </w:rPr>
        <w:t>Julia Callis</w:t>
      </w:r>
    </w:p>
    <w:p>
      <w:pPr>
        <w:spacing w:after="0" w:line="225" w:lineRule="auto"/>
        <w:rPr>
          <w:sz w:val="20"/>
          <w:szCs w:val="20"/>
          <w:color w:val="auto"/>
        </w:rPr>
      </w:pPr>
      <w:r>
        <w:rPr>
          <w:rFonts w:ascii="Arial" w:cs="Arial" w:eastAsia="Arial" w:hAnsi="Arial"/>
          <w:sz w:val="20"/>
          <w:szCs w:val="20"/>
          <w:color w:val="333333"/>
        </w:rPr>
        <w:t>Executive Vice President, General Counsel &amp; Corporate Secretary</w:t>
      </w:r>
    </w:p>
    <w:p>
      <w:pPr>
        <w:spacing w:after="0" w:line="225" w:lineRule="auto"/>
        <w:rPr>
          <w:sz w:val="20"/>
          <w:szCs w:val="20"/>
          <w:color w:val="auto"/>
        </w:rPr>
      </w:pPr>
      <w:r>
        <w:rPr>
          <w:rFonts w:ascii="Arial" w:cs="Arial" w:eastAsia="Arial" w:hAnsi="Arial"/>
          <w:sz w:val="20"/>
          <w:szCs w:val="20"/>
          <w:color w:val="333333"/>
        </w:rPr>
        <w:t>318-561-4042</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333333"/>
        </w:rPr>
        <w:t>julia.callis@redriverbank.net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w:t>
      </w:r>
    </w:p>
    <w:sectPr>
      <w:pgSz w:w="11900" w:h="16838" w:orient="portrait"/>
      <w:cols w:equalWidth="0" w:num="1">
        <w:col w:w="11140"/>
      </w:cols>
      <w:pgMar w:left="320" w:top="100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2026-05-28T19:07:16Z</dcterms:created>
  <dcterms:modified xsi:type="dcterms:W3CDTF">2026-05-28T19:07:16Z</dcterms:modified>
</cp:coreProperties>
</file>