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79375</wp:posOffset>
            </wp:positionV>
            <wp:extent cx="19627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158750</wp:posOffset>
            </wp:positionV>
            <wp:extent cx="19627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April 30, 2026</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Red River Bancshares, Inc.</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93" w:lineRule="exact"/>
        <w:rPr>
          <w:sz w:val="24"/>
          <w:szCs w:val="24"/>
          <w:color w:val="auto"/>
        </w:rPr>
      </w:pPr>
    </w:p>
    <w:tbl>
      <w:tblPr>
        <w:tblLayout w:type="fixed"/>
        <w:tblInd w:w="1060" w:type="dxa"/>
        <w:tblCellMar>
          <w:top w:w="0" w:type="dxa"/>
          <w:left w:w="0" w:type="dxa"/>
          <w:bottom w:w="0" w:type="dxa"/>
          <w:right w:w="0" w:type="dxa"/>
        </w:tblCellMar>
      </w:tblPr>
      <w:tr>
        <w:trPr>
          <w:trHeight w:val="250"/>
        </w:trPr>
        <w:tc>
          <w:tcPr>
            <w:tcW w:w="4100" w:type="dxa"/>
            <w:vAlign w:val="bottom"/>
          </w:tcPr>
          <w:p>
            <w:pPr>
              <w:jc w:val="center"/>
              <w:ind w:right="2410"/>
              <w:spacing w:after="0"/>
              <w:rPr>
                <w:sz w:val="20"/>
                <w:szCs w:val="20"/>
                <w:color w:val="auto"/>
              </w:rPr>
            </w:pPr>
            <w:r>
              <w:rPr>
                <w:rFonts w:ascii="Arial" w:cs="Arial" w:eastAsia="Arial" w:hAnsi="Arial"/>
                <w:sz w:val="16"/>
                <w:szCs w:val="16"/>
                <w:b w:val="1"/>
                <w:bCs w:val="1"/>
                <w:color w:val="auto"/>
                <w:w w:val="99"/>
              </w:rPr>
              <w:t>Louisiana</w:t>
            </w:r>
          </w:p>
        </w:tc>
        <w:tc>
          <w:tcPr>
            <w:tcW w:w="2260" w:type="dxa"/>
            <w:vAlign w:val="bottom"/>
          </w:tcPr>
          <w:p>
            <w:pPr>
              <w:ind w:left="60"/>
              <w:spacing w:after="0"/>
              <w:rPr>
                <w:sz w:val="20"/>
                <w:szCs w:val="20"/>
                <w:color w:val="auto"/>
              </w:rPr>
            </w:pPr>
            <w:r>
              <w:rPr>
                <w:rFonts w:ascii="Arial" w:cs="Arial" w:eastAsia="Arial" w:hAnsi="Arial"/>
                <w:sz w:val="16"/>
                <w:szCs w:val="16"/>
                <w:b w:val="1"/>
                <w:bCs w:val="1"/>
                <w:color w:val="auto"/>
              </w:rPr>
              <w:t>001-38888</w:t>
            </w:r>
          </w:p>
        </w:tc>
        <w:tc>
          <w:tcPr>
            <w:tcW w:w="2480" w:type="dxa"/>
            <w:vAlign w:val="bottom"/>
          </w:tcPr>
          <w:p>
            <w:pPr>
              <w:jc w:val="right"/>
              <w:ind w:right="30"/>
              <w:spacing w:after="0"/>
              <w:rPr>
                <w:sz w:val="20"/>
                <w:szCs w:val="20"/>
                <w:color w:val="auto"/>
              </w:rPr>
            </w:pPr>
            <w:r>
              <w:rPr>
                <w:rFonts w:ascii="Arial" w:cs="Arial" w:eastAsia="Arial" w:hAnsi="Arial"/>
                <w:sz w:val="16"/>
                <w:szCs w:val="16"/>
                <w:b w:val="1"/>
                <w:bCs w:val="1"/>
                <w:color w:val="auto"/>
              </w:rPr>
              <w:t>72-1412058</w:t>
            </w:r>
          </w:p>
        </w:tc>
      </w:tr>
      <w:tr>
        <w:trPr>
          <w:trHeight w:val="138"/>
        </w:trPr>
        <w:tc>
          <w:tcPr>
            <w:tcW w:w="4100" w:type="dxa"/>
            <w:vAlign w:val="bottom"/>
          </w:tcPr>
          <w:p>
            <w:pPr>
              <w:jc w:val="center"/>
              <w:ind w:right="2410"/>
              <w:spacing w:after="0" w:line="138" w:lineRule="exact"/>
              <w:rPr>
                <w:sz w:val="20"/>
                <w:szCs w:val="20"/>
                <w:color w:val="auto"/>
              </w:rPr>
            </w:pPr>
            <w:r>
              <w:rPr>
                <w:rFonts w:ascii="Arial" w:cs="Arial" w:eastAsia="Arial" w:hAnsi="Arial"/>
                <w:sz w:val="13"/>
                <w:szCs w:val="13"/>
                <w:b w:val="1"/>
                <w:bCs w:val="1"/>
                <w:color w:val="auto"/>
                <w:w w:val="96"/>
              </w:rPr>
              <w:t>(State or Other Jurisdiction</w:t>
            </w:r>
          </w:p>
        </w:tc>
        <w:tc>
          <w:tcPr>
            <w:tcW w:w="2260" w:type="dxa"/>
            <w:vAlign w:val="bottom"/>
          </w:tcPr>
          <w:p>
            <w:pPr>
              <w:ind w:left="60"/>
              <w:spacing w:after="0" w:line="138" w:lineRule="exact"/>
              <w:rPr>
                <w:sz w:val="20"/>
                <w:szCs w:val="20"/>
                <w:color w:val="auto"/>
              </w:rPr>
            </w:pPr>
            <w:r>
              <w:rPr>
                <w:rFonts w:ascii="Arial" w:cs="Arial" w:eastAsia="Arial" w:hAnsi="Arial"/>
                <w:sz w:val="13"/>
                <w:szCs w:val="13"/>
                <w:b w:val="1"/>
                <w:bCs w:val="1"/>
                <w:color w:val="auto"/>
              </w:rPr>
              <w:t>(Commission</w:t>
            </w:r>
          </w:p>
        </w:tc>
        <w:tc>
          <w:tcPr>
            <w:tcW w:w="2480" w:type="dxa"/>
            <w:vAlign w:val="bottom"/>
          </w:tcPr>
          <w:p>
            <w:pPr>
              <w:jc w:val="center"/>
              <w:ind w:left="1350"/>
              <w:spacing w:after="0" w:line="138" w:lineRule="exact"/>
              <w:rPr>
                <w:sz w:val="20"/>
                <w:szCs w:val="20"/>
                <w:color w:val="auto"/>
              </w:rPr>
            </w:pPr>
            <w:r>
              <w:rPr>
                <w:rFonts w:ascii="Arial" w:cs="Arial" w:eastAsia="Arial" w:hAnsi="Arial"/>
                <w:sz w:val="13"/>
                <w:szCs w:val="13"/>
                <w:b w:val="1"/>
                <w:bCs w:val="1"/>
                <w:color w:val="auto"/>
                <w:w w:val="96"/>
              </w:rPr>
              <w:t>(IRS Employer</w:t>
            </w:r>
          </w:p>
        </w:tc>
      </w:tr>
      <w:tr>
        <w:trPr>
          <w:trHeight w:val="172"/>
        </w:trPr>
        <w:tc>
          <w:tcPr>
            <w:tcW w:w="4100" w:type="dxa"/>
            <w:vAlign w:val="bottom"/>
          </w:tcPr>
          <w:p>
            <w:pPr>
              <w:jc w:val="center"/>
              <w:ind w:right="2410"/>
              <w:spacing w:after="0"/>
              <w:rPr>
                <w:sz w:val="20"/>
                <w:szCs w:val="20"/>
                <w:color w:val="auto"/>
              </w:rPr>
            </w:pPr>
            <w:r>
              <w:rPr>
                <w:rFonts w:ascii="Arial" w:cs="Arial" w:eastAsia="Arial" w:hAnsi="Arial"/>
                <w:sz w:val="13"/>
                <w:szCs w:val="13"/>
                <w:b w:val="1"/>
                <w:bCs w:val="1"/>
                <w:color w:val="auto"/>
                <w:w w:val="98"/>
              </w:rPr>
              <w:t>of Incorporation)</w:t>
            </w:r>
          </w:p>
        </w:tc>
        <w:tc>
          <w:tcPr>
            <w:tcW w:w="2260" w:type="dxa"/>
            <w:vAlign w:val="bottom"/>
          </w:tcPr>
          <w:p>
            <w:pPr>
              <w:ind w:left="60"/>
              <w:spacing w:after="0"/>
              <w:rPr>
                <w:sz w:val="20"/>
                <w:szCs w:val="20"/>
                <w:color w:val="auto"/>
              </w:rPr>
            </w:pPr>
            <w:r>
              <w:rPr>
                <w:rFonts w:ascii="Arial" w:cs="Arial" w:eastAsia="Arial" w:hAnsi="Arial"/>
                <w:sz w:val="13"/>
                <w:szCs w:val="13"/>
                <w:b w:val="1"/>
                <w:bCs w:val="1"/>
                <w:color w:val="auto"/>
              </w:rPr>
              <w:t>File Number)</w:t>
            </w:r>
          </w:p>
        </w:tc>
        <w:tc>
          <w:tcPr>
            <w:tcW w:w="2480" w:type="dxa"/>
            <w:vAlign w:val="bottom"/>
          </w:tcPr>
          <w:p>
            <w:pPr>
              <w:jc w:val="center"/>
              <w:ind w:left="1350"/>
              <w:spacing w:after="0"/>
              <w:rPr>
                <w:sz w:val="20"/>
                <w:szCs w:val="20"/>
                <w:color w:val="auto"/>
              </w:rPr>
            </w:pPr>
            <w:r>
              <w:rPr>
                <w:rFonts w:ascii="Arial" w:cs="Arial" w:eastAsia="Arial" w:hAnsi="Arial"/>
                <w:sz w:val="13"/>
                <w:szCs w:val="13"/>
                <w:b w:val="1"/>
                <w:bCs w:val="1"/>
                <w:color w:val="auto"/>
                <w:w w:val="96"/>
              </w:rPr>
              <w:t>Identification No.)</w:t>
            </w:r>
          </w:p>
        </w:tc>
      </w:tr>
      <w:tr>
        <w:trPr>
          <w:trHeight w:val="303"/>
        </w:trPr>
        <w:tc>
          <w:tcPr>
            <w:tcW w:w="6360" w:type="dxa"/>
            <w:vAlign w:val="bottom"/>
            <w:gridSpan w:val="2"/>
          </w:tcPr>
          <w:p>
            <w:pPr>
              <w:jc w:val="center"/>
              <w:ind w:right="931"/>
              <w:spacing w:after="0"/>
              <w:rPr>
                <w:sz w:val="20"/>
                <w:szCs w:val="20"/>
                <w:color w:val="auto"/>
              </w:rPr>
            </w:pPr>
            <w:r>
              <w:rPr>
                <w:rFonts w:ascii="Arial" w:cs="Arial" w:eastAsia="Arial" w:hAnsi="Arial"/>
                <w:sz w:val="14"/>
                <w:szCs w:val="14"/>
                <w:b w:val="1"/>
                <w:bCs w:val="1"/>
                <w:color w:val="auto"/>
              </w:rPr>
              <w:t>1412 Centre Court Drive, Suite 301, Alexandria, Louisiana</w:t>
            </w:r>
          </w:p>
        </w:tc>
        <w:tc>
          <w:tcPr>
            <w:tcW w:w="2480" w:type="dxa"/>
            <w:vAlign w:val="bottom"/>
          </w:tcPr>
          <w:p>
            <w:pPr>
              <w:jc w:val="right"/>
              <w:ind w:right="270"/>
              <w:spacing w:after="0"/>
              <w:rPr>
                <w:sz w:val="20"/>
                <w:szCs w:val="20"/>
                <w:color w:val="auto"/>
              </w:rPr>
            </w:pPr>
            <w:r>
              <w:rPr>
                <w:rFonts w:ascii="Arial" w:cs="Arial" w:eastAsia="Arial" w:hAnsi="Arial"/>
                <w:sz w:val="14"/>
                <w:szCs w:val="14"/>
                <w:b w:val="1"/>
                <w:bCs w:val="1"/>
                <w:color w:val="auto"/>
              </w:rPr>
              <w:t>71301</w:t>
            </w:r>
          </w:p>
        </w:tc>
      </w:tr>
      <w:tr>
        <w:trPr>
          <w:trHeight w:val="203"/>
        </w:trPr>
        <w:tc>
          <w:tcPr>
            <w:tcW w:w="4100" w:type="dxa"/>
            <w:vAlign w:val="bottom"/>
          </w:tcPr>
          <w:p>
            <w:pPr>
              <w:jc w:val="center"/>
              <w:ind w:left="1210"/>
              <w:spacing w:after="0"/>
              <w:rPr>
                <w:sz w:val="20"/>
                <w:szCs w:val="20"/>
                <w:color w:val="auto"/>
              </w:rPr>
            </w:pPr>
            <w:r>
              <w:rPr>
                <w:rFonts w:ascii="Arial" w:cs="Arial" w:eastAsia="Arial" w:hAnsi="Arial"/>
                <w:sz w:val="14"/>
                <w:szCs w:val="14"/>
                <w:b w:val="1"/>
                <w:bCs w:val="1"/>
                <w:color w:val="auto"/>
              </w:rPr>
              <w:t>(Address of Principal Executive Offices)</w:t>
            </w:r>
          </w:p>
        </w:tc>
        <w:tc>
          <w:tcPr>
            <w:tcW w:w="2260" w:type="dxa"/>
            <w:vAlign w:val="bottom"/>
          </w:tcPr>
          <w:p>
            <w:pPr>
              <w:spacing w:after="0"/>
              <w:rPr>
                <w:sz w:val="17"/>
                <w:szCs w:val="17"/>
                <w:color w:val="auto"/>
              </w:rPr>
            </w:pPr>
          </w:p>
        </w:tc>
        <w:tc>
          <w:tcPr>
            <w:tcW w:w="2480" w:type="dxa"/>
            <w:vAlign w:val="bottom"/>
          </w:tcPr>
          <w:p>
            <w:pPr>
              <w:jc w:val="center"/>
              <w:ind w:left="1330"/>
              <w:spacing w:after="0"/>
              <w:rPr>
                <w:sz w:val="20"/>
                <w:szCs w:val="20"/>
                <w:color w:val="auto"/>
              </w:rPr>
            </w:pPr>
            <w:r>
              <w:rPr>
                <w:rFonts w:ascii="Arial" w:cs="Arial" w:eastAsia="Arial" w:hAnsi="Arial"/>
                <w:sz w:val="14"/>
                <w:szCs w:val="14"/>
                <w:b w:val="1"/>
                <w:bCs w:val="1"/>
                <w:color w:val="auto"/>
              </w:rPr>
              <w:t>(Zip Code)</w:t>
            </w:r>
          </w:p>
        </w:tc>
      </w:tr>
    </w:tbl>
    <w:p>
      <w:pPr>
        <w:spacing w:after="0" w:line="3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(318) 561-4000</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7"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0"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600" w:type="dxa"/>
            <w:vAlign w:val="bottom"/>
          </w:tcPr>
          <w:p>
            <w:pPr>
              <w:jc w:val="center"/>
              <w:ind w:right="205"/>
              <w:spacing w:after="0"/>
              <w:rPr>
                <w:sz w:val="20"/>
                <w:szCs w:val="20"/>
                <w:color w:val="auto"/>
              </w:rPr>
            </w:pPr>
            <w:r>
              <w:rPr>
                <w:rFonts w:ascii="Arial" w:cs="Arial" w:eastAsia="Arial" w:hAnsi="Arial"/>
                <w:sz w:val="14"/>
                <w:szCs w:val="14"/>
                <w:b w:val="1"/>
                <w:bCs w:val="1"/>
                <w:color w:val="auto"/>
              </w:rPr>
              <w:t>Trading</w:t>
            </w:r>
          </w:p>
        </w:tc>
        <w:tc>
          <w:tcPr>
            <w:tcW w:w="4720" w:type="dxa"/>
            <w:vAlign w:val="bottom"/>
          </w:tcPr>
          <w:p>
            <w:pPr>
              <w:jc w:val="center"/>
              <w:ind w:right="165"/>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auto"/>
            </w:tcBorders>
            <w:vMerge w:val="continue"/>
          </w:tcPr>
          <w:p>
            <w:pPr>
              <w:spacing w:after="0"/>
              <w:rPr>
                <w:sz w:val="16"/>
                <w:szCs w:val="16"/>
                <w:color w:val="auto"/>
              </w:rPr>
            </w:pPr>
          </w:p>
        </w:tc>
        <w:tc>
          <w:tcPr>
            <w:tcW w:w="260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Symbol(s)</w:t>
            </w:r>
          </w:p>
        </w:tc>
        <w:tc>
          <w:tcPr>
            <w:tcW w:w="472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16"/>
        </w:trPr>
        <w:tc>
          <w:tcPr>
            <w:tcW w:w="3860" w:type="dxa"/>
            <w:vAlign w:val="bottom"/>
          </w:tcPr>
          <w:p>
            <w:pPr>
              <w:jc w:val="center"/>
              <w:spacing w:after="0"/>
              <w:rPr>
                <w:sz w:val="20"/>
                <w:szCs w:val="20"/>
                <w:color w:val="auto"/>
              </w:rPr>
            </w:pPr>
            <w:r>
              <w:rPr>
                <w:rFonts w:ascii="Arial" w:cs="Arial" w:eastAsia="Arial" w:hAnsi="Arial"/>
                <w:sz w:val="16"/>
                <w:szCs w:val="16"/>
                <w:b w:val="1"/>
                <w:bCs w:val="1"/>
                <w:color w:val="auto"/>
              </w:rPr>
              <w:t>Common Stock, no par value</w:t>
            </w:r>
          </w:p>
        </w:tc>
        <w:tc>
          <w:tcPr>
            <w:tcW w:w="2600" w:type="dxa"/>
            <w:vAlign w:val="bottom"/>
          </w:tcPr>
          <w:p>
            <w:pPr>
              <w:jc w:val="center"/>
              <w:ind w:right="165"/>
              <w:spacing w:after="0"/>
              <w:rPr>
                <w:sz w:val="20"/>
                <w:szCs w:val="20"/>
                <w:color w:val="auto"/>
              </w:rPr>
            </w:pPr>
            <w:r>
              <w:rPr>
                <w:rFonts w:ascii="Arial" w:cs="Arial" w:eastAsia="Arial" w:hAnsi="Arial"/>
                <w:sz w:val="16"/>
                <w:szCs w:val="16"/>
                <w:b w:val="1"/>
                <w:bCs w:val="1"/>
                <w:color w:val="auto"/>
              </w:rPr>
              <w:t>RRBI</w:t>
            </w:r>
          </w:p>
        </w:tc>
        <w:tc>
          <w:tcPr>
            <w:tcW w:w="4720" w:type="dxa"/>
            <w:vAlign w:val="bottom"/>
          </w:tcPr>
          <w:p>
            <w:pPr>
              <w:jc w:val="center"/>
              <w:ind w:right="145"/>
              <w:spacing w:after="0"/>
              <w:rPr>
                <w:sz w:val="20"/>
                <w:szCs w:val="20"/>
                <w:color w:val="auto"/>
              </w:rPr>
            </w:pPr>
            <w:r>
              <w:rPr>
                <w:rFonts w:ascii="Arial" w:cs="Arial" w:eastAsia="Arial" w:hAnsi="Arial"/>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299"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0"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92"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2.02</w:t>
        <w:tab/>
        <w:t>Results of Operations and Financial Condition.</w:t>
      </w:r>
    </w:p>
    <w:p>
      <w:pPr>
        <w:spacing w:after="0" w:line="19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On April 30, 2026, Red River Bancshares, Inc. (the “Company”) issued a press release announcing its unaudited financial results for the first quarter ended March 31, 2026. A copy of the press release is attached hereto as Exhibit 99.1, which is incorporated herein by reference.</w:t>
      </w:r>
    </w:p>
    <w:p>
      <w:pPr>
        <w:spacing w:after="0" w:line="129"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As provided in General Instruction B.2 to Form 8-K, the information furnished in Item 2.02 and Exhibit 99.1 of this Current Report on Form 8-K shall not be deemed “filed” for purposes of Section 18 of the Securities Exchange Act of 1934, as amended (the “Exchange Act”), or otherwise subject to the liabilities of that section, and such information shall not be deemed incorporated by reference in any filing under the Securities Act of 1933, as amended, or the Exchange Act, except as shall be expressly set forth by specific reference in such filing.</w:t>
      </w:r>
    </w:p>
    <w:p>
      <w:pPr>
        <w:spacing w:after="0" w:line="146"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181"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 The following are furnished as exhibits to this Current Report on Form 8-K.</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02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tcPr>
          <w:p>
            <w:pPr>
              <w:spacing w:after="0" w:line="175" w:lineRule="exact"/>
              <w:rPr>
                <w:sz w:val="20"/>
                <w:szCs w:val="20"/>
                <w:color w:val="auto"/>
              </w:rPr>
            </w:pPr>
            <w:r>
              <w:rPr>
                <w:rFonts w:ascii="Arial" w:cs="Arial" w:eastAsia="Arial" w:hAnsi="Arial"/>
                <w:sz w:val="16"/>
                <w:szCs w:val="16"/>
                <w:b w:val="1"/>
                <w:bCs w:val="1"/>
                <w:color w:val="auto"/>
                <w:w w:val="99"/>
              </w:rPr>
              <w:t>Number</w:t>
            </w:r>
          </w:p>
        </w:tc>
        <w:tc>
          <w:tcPr>
            <w:tcW w:w="380" w:type="dxa"/>
            <w:vAlign w:val="bottom"/>
          </w:tcPr>
          <w:p>
            <w:pPr>
              <w:spacing w:after="0"/>
              <w:rPr>
                <w:sz w:val="15"/>
                <w:szCs w:val="15"/>
                <w:color w:val="auto"/>
              </w:rPr>
            </w:pPr>
          </w:p>
        </w:tc>
        <w:tc>
          <w:tcPr>
            <w:tcW w:w="102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6"/>
                <w:szCs w:val="16"/>
                <w:color w:val="auto"/>
              </w:rPr>
              <w:t>99.1</w:t>
            </w:r>
          </w:p>
        </w:tc>
        <w:tc>
          <w:tcPr>
            <w:tcW w:w="380" w:type="dxa"/>
            <w:vAlign w:val="bottom"/>
          </w:tcPr>
          <w:p>
            <w:pPr>
              <w:spacing w:after="0"/>
              <w:rPr>
                <w:sz w:val="24"/>
                <w:szCs w:val="24"/>
                <w:color w:val="auto"/>
              </w:rPr>
            </w:pPr>
          </w:p>
        </w:tc>
        <w:tc>
          <w:tcPr>
            <w:tcW w:w="534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Press Release issued by Red River Bancshares, Inc., dated April 30, 2026</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40" w:type="dxa"/>
            <w:vAlign w:val="bottom"/>
            <w:gridSpan w:val="2"/>
          </w:tcPr>
          <w:p>
            <w:pPr>
              <w:ind w:left="20"/>
              <w:spacing w:after="0"/>
              <w:rPr>
                <w:sz w:val="20"/>
                <w:szCs w:val="20"/>
                <w:color w:val="auto"/>
              </w:rPr>
            </w:pPr>
            <w:r>
              <w:rPr>
                <w:rFonts w:ascii="Arial" w:cs="Arial" w:eastAsia="Arial" w:hAnsi="Arial"/>
                <w:sz w:val="16"/>
                <w:szCs w:val="16"/>
                <w:color w:val="auto"/>
              </w:rPr>
              <w:t>104</w:t>
            </w:r>
          </w:p>
        </w:tc>
        <w:tc>
          <w:tcPr>
            <w:tcW w:w="38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0" w:type="dxa"/>
            <w:vAlign w:val="bottom"/>
          </w:tcPr>
          <w:p>
            <w:pPr>
              <w:spacing w:after="0"/>
              <w:rPr>
                <w:sz w:val="1"/>
                <w:szCs w:val="1"/>
                <w:color w:val="auto"/>
              </w:rPr>
            </w:pPr>
          </w:p>
        </w:tc>
      </w:tr>
      <w:tr>
        <w:trPr>
          <w:trHeight w:val="981"/>
        </w:trPr>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Dated: April 30, 2026</w:t>
      </w:r>
    </w:p>
    <w:p>
      <w:pPr>
        <w:spacing w:after="0" w:line="329"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RED RIVER BANCSHARES, INC.</w:t>
      </w:r>
    </w:p>
    <w:p>
      <w:pPr>
        <w:spacing w:after="0" w:line="343" w:lineRule="exact"/>
        <w:rPr>
          <w:sz w:val="20"/>
          <w:szCs w:val="20"/>
          <w:color w:val="auto"/>
        </w:rPr>
      </w:pPr>
    </w:p>
    <w:p>
      <w:pPr>
        <w:ind w:left="3800"/>
        <w:spacing w:after="0"/>
        <w:tabs>
          <w:tab w:leader="none" w:pos="4220" w:val="left"/>
        </w:tabs>
        <w:rPr>
          <w:sz w:val="20"/>
          <w:szCs w:val="20"/>
          <w:color w:val="auto"/>
        </w:rPr>
      </w:pPr>
      <w:r>
        <w:rPr>
          <w:rFonts w:ascii="Arial" w:cs="Arial" w:eastAsia="Arial" w:hAnsi="Arial"/>
          <w:sz w:val="16"/>
          <w:szCs w:val="16"/>
          <w:color w:val="auto"/>
        </w:rPr>
        <w:t>By:</w:t>
        <w:tab/>
        <w:t>/s/ Isabel V. Carriere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20955</wp:posOffset>
            </wp:positionV>
            <wp:extent cx="2888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53"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Isabel V. Carriere, CPA, CGMA</w:t>
      </w:r>
    </w:p>
    <w:p>
      <w:pPr>
        <w:spacing w:after="0" w:line="26"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Senior Executive Vice President, Chief Financial Officer, and</w:t>
      </w:r>
    </w:p>
    <w:p>
      <w:pPr>
        <w:ind w:left="4240"/>
        <w:spacing w:after="0"/>
        <w:rPr>
          <w:sz w:val="20"/>
          <w:szCs w:val="20"/>
          <w:color w:val="auto"/>
        </w:rPr>
      </w:pPr>
      <w:r>
        <w:rPr>
          <w:rFonts w:ascii="Arial" w:cs="Arial" w:eastAsia="Arial" w:hAnsi="Arial"/>
          <w:sz w:val="16"/>
          <w:szCs w:val="16"/>
          <w:color w:val="auto"/>
        </w:rPr>
        <w:t>Assistant Corporate Secretary</w:t>
      </w:r>
    </w:p>
    <w:p>
      <w:pPr>
        <w:spacing w:after="0" w:line="16"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(Principal Financial Officer and Principal Accounting Officer)</w:t>
      </w:r>
    </w:p>
    <w:p>
      <w:pPr>
        <w:sectPr>
          <w:pgSz w:w="11900" w:h="16838" w:orient="portrait"/>
          <w:cols w:equalWidth="0" w:num="1">
            <w:col w:w="10600"/>
          </w:cols>
          <w:pgMar w:left="320" w:top="895"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197225"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97225" cy="22288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FOR IMMEDIATE RELEASE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 River Bancshares, Inc. Reports First Quarter 2026 Financial Results</w:t>
      </w:r>
    </w:p>
    <w:p>
      <w:pPr>
        <w:spacing w:after="0" w:line="127"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ALEXANDRIA, Louisiana, April 30, 2026 (GLOBE NEWSWIRE) -- Red River Bancshares, Inc. (the “Company”) (Nasdaq: RRBI), the holding company for Red River Bank (the “Bank”), announced today its unaudited financial results for the first quarter of 2026.</w:t>
      </w:r>
    </w:p>
    <w:p>
      <w:pPr>
        <w:spacing w:after="0" w:line="47"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Net income for the first quarter of 2026 was $12.0 million, or $1.81 per diluted common share (“EPS”), compared to $11.4 million, or $1.73 EPS, for the fourth quarter of 2025, and $10.4 million, or $1.52 EPS, for the first quarter of 2025. For the first quarter of 2026, the quarterly return on assets was 1.44%, and the quarterly return on equity was 12.95%.</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Quarter 2026 Performance and Operational Highlights</w:t>
      </w:r>
    </w:p>
    <w:p>
      <w:pPr>
        <w:spacing w:after="0" w:line="140"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The first quarter of 2026 financial results included record-high quarterly net income and a consistent balance sheet. We increased the quarterly cash dividend paid to shareholders by $0.10 per share, or 66.7%, to $0.25 per share for the first quarter of 2026, compared to $0.15 per share for the prior two quarters.</w:t>
      </w:r>
    </w:p>
    <w:p>
      <w:pPr>
        <w:spacing w:after="0" w:line="90" w:lineRule="exact"/>
        <w:rPr>
          <w:sz w:val="20"/>
          <w:szCs w:val="20"/>
          <w:color w:val="auto"/>
        </w:rPr>
      </w:pPr>
    </w:p>
    <w:p>
      <w:pPr>
        <w:ind w:left="660" w:right="300" w:hanging="328"/>
        <w:spacing w:after="0" w:line="27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income for the first quarter of 2026 was $12.0 million, up $556,000, or 4.9%, from the prior quarter. Net income for the first quarter was impacted by approximately $590,000 of periodic items that reduced operating expenses. These operating expense reductions benefited EPS by $0.07.</w:t>
      </w:r>
    </w:p>
    <w:p>
      <w:pPr>
        <w:spacing w:after="0" w:line="83" w:lineRule="exact"/>
        <w:rPr>
          <w:rFonts w:ascii="Arial" w:cs="Arial" w:eastAsia="Arial" w:hAnsi="Arial"/>
          <w:sz w:val="16"/>
          <w:szCs w:val="16"/>
          <w:color w:val="auto"/>
        </w:rPr>
      </w:pPr>
    </w:p>
    <w:p>
      <w:pPr>
        <w:ind w:left="660" w:right="18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interest income increased slightly, and net interest margin fully taxable equivalent (“FTE”) was consistent at 3.51% for the first quarter of 2026 and the prior quarter.</w:t>
      </w:r>
    </w:p>
    <w:p>
      <w:pPr>
        <w:spacing w:after="0" w:line="7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Assets remained consistent at $3.35 billion as of March 31, 2026 and December 31, 2025.</w:t>
      </w:r>
    </w:p>
    <w:p>
      <w:pPr>
        <w:spacing w:after="0" w:line="140" w:lineRule="exact"/>
        <w:rPr>
          <w:rFonts w:ascii="Arial" w:cs="Arial" w:eastAsia="Arial" w:hAnsi="Arial"/>
          <w:sz w:val="16"/>
          <w:szCs w:val="16"/>
          <w:color w:val="auto"/>
        </w:rPr>
      </w:pPr>
    </w:p>
    <w:p>
      <w:pPr>
        <w:ind w:left="660" w:right="88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Loans held for investment (“HFI”) were $2.25 billion as of March 31, 2026 and December 31, 2025. In the first quarter of 2026, new loan originations and construction commitment fundings were offset by payments and payoffs.</w:t>
      </w:r>
    </w:p>
    <w:p>
      <w:pPr>
        <w:spacing w:after="0" w:line="74" w:lineRule="exact"/>
        <w:rPr>
          <w:rFonts w:ascii="Arial" w:cs="Arial" w:eastAsia="Arial" w:hAnsi="Arial"/>
          <w:sz w:val="16"/>
          <w:szCs w:val="16"/>
          <w:color w:val="auto"/>
        </w:rPr>
      </w:pPr>
    </w:p>
    <w:p>
      <w:pPr>
        <w:ind w:left="660" w:right="22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Deposits totaled $2.95 billion as of March 31, 2026, down $17.5 million, or 0.6%, from $2.96 billion as of December 31, 2025, primarily due to the seasonal outflow of funds from public entity customers exceeding increased commercial deposits.</w:t>
      </w:r>
    </w:p>
    <w:p>
      <w:pPr>
        <w:spacing w:after="0" w:line="74" w:lineRule="exact"/>
        <w:rPr>
          <w:rFonts w:ascii="Arial" w:cs="Arial" w:eastAsia="Arial" w:hAnsi="Arial"/>
          <w:sz w:val="16"/>
          <w:szCs w:val="16"/>
          <w:color w:val="auto"/>
        </w:rPr>
      </w:pPr>
    </w:p>
    <w:p>
      <w:pPr>
        <w:ind w:left="660" w:right="320" w:hanging="328"/>
        <w:spacing w:after="0" w:line="286" w:lineRule="auto"/>
        <w:tabs>
          <w:tab w:leader="none" w:pos="649" w:val="left"/>
        </w:tabs>
        <w:numPr>
          <w:ilvl w:val="0"/>
          <w:numId w:val="3"/>
        </w:numPr>
        <w:rPr>
          <w:rFonts w:ascii="Arial" w:cs="Arial" w:eastAsia="Arial" w:hAnsi="Arial"/>
          <w:sz w:val="16"/>
          <w:szCs w:val="16"/>
          <w:i w:val="1"/>
          <w:iCs w:val="1"/>
          <w:color w:val="auto"/>
        </w:rPr>
      </w:pPr>
      <w:r>
        <w:rPr>
          <w:rFonts w:ascii="Arial" w:cs="Arial" w:eastAsia="Arial" w:hAnsi="Arial"/>
          <w:sz w:val="16"/>
          <w:szCs w:val="16"/>
          <w:color w:val="auto"/>
        </w:rPr>
        <w:t>In the first quarter of 2026, we paid a quarterly cash dividend of $0.25 per common share, which was a 66.7% increase from $0.15 per common share paid in the third and fourth quarters of 2025.</w:t>
      </w:r>
    </w:p>
    <w:p>
      <w:pPr>
        <w:spacing w:after="0" w:line="74" w:lineRule="exact"/>
        <w:rPr>
          <w:rFonts w:ascii="Arial" w:cs="Arial" w:eastAsia="Arial" w:hAnsi="Arial"/>
          <w:sz w:val="16"/>
          <w:szCs w:val="16"/>
          <w:i w:val="1"/>
          <w:iCs w:val="1"/>
          <w:color w:val="auto"/>
        </w:rPr>
      </w:pPr>
    </w:p>
    <w:p>
      <w:pPr>
        <w:ind w:left="660" w:right="420" w:hanging="328"/>
        <w:spacing w:after="0" w:line="27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2026 stock repurchase program authorizes us to purchase up to $10.0 million of our outstanding shares of common stock from January 1, 2026 through December 31, 2026. There was no stock repurchase activity in the first quarter of 2026. As of March 31, 2026, the 2026 stock repurchase program had $10.0 million of available capacity.</w:t>
      </w:r>
    </w:p>
    <w:p>
      <w:pPr>
        <w:spacing w:after="0" w:line="6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continue to implement our organic expansion plan. The following construction projects are in process:</w:t>
      </w:r>
    </w:p>
    <w:p>
      <w:pPr>
        <w:spacing w:after="0" w:line="140" w:lineRule="exact"/>
        <w:rPr>
          <w:rFonts w:ascii="Arial" w:cs="Arial" w:eastAsia="Arial" w:hAnsi="Arial"/>
          <w:sz w:val="16"/>
          <w:szCs w:val="16"/>
          <w:color w:val="auto"/>
        </w:rPr>
      </w:pPr>
    </w:p>
    <w:p>
      <w:pPr>
        <w:ind w:left="1300" w:right="20" w:hanging="320"/>
        <w:spacing w:after="0" w:line="265" w:lineRule="auto"/>
        <w:tabs>
          <w:tab w:leader="none" w:pos="1290" w:val="left"/>
        </w:tabs>
        <w:numPr>
          <w:ilvl w:val="1"/>
          <w:numId w:val="3"/>
        </w:numPr>
        <w:rPr>
          <w:rFonts w:ascii="Arial" w:cs="Arial" w:eastAsia="Arial" w:hAnsi="Arial"/>
          <w:sz w:val="16"/>
          <w:szCs w:val="16"/>
          <w:color w:val="auto"/>
        </w:rPr>
      </w:pPr>
      <w:r>
        <w:rPr>
          <w:rFonts w:ascii="Arial" w:cs="Arial" w:eastAsia="Arial" w:hAnsi="Arial"/>
          <w:sz w:val="16"/>
          <w:szCs w:val="16"/>
          <w:color w:val="auto"/>
        </w:rPr>
        <w:t>In the Northwest market, there are two projects in process with the goal of relocating personnel and vacating the Market Street location in Shreveport, Louisiana. In May 2026, we plan to relocate our Northwest market leadership and lenders to our newly constructed Shreveport Commercial and Private Banking Loan and Deposit Production Office Building, which is adjacent to our East Kings banking center. We then plan to relocate the Market Street retail banking center to the nearby American Towers building, which will have a more efficient cost structure.</w:t>
      </w:r>
    </w:p>
    <w:p>
      <w:pPr>
        <w:spacing w:after="0" w:line="77" w:lineRule="exact"/>
        <w:rPr>
          <w:rFonts w:ascii="Arial" w:cs="Arial" w:eastAsia="Arial" w:hAnsi="Arial"/>
          <w:sz w:val="16"/>
          <w:szCs w:val="16"/>
          <w:color w:val="auto"/>
        </w:rPr>
      </w:pPr>
    </w:p>
    <w:p>
      <w:pPr>
        <w:ind w:left="1300" w:right="240" w:hanging="320"/>
        <w:spacing w:after="0" w:line="275" w:lineRule="auto"/>
        <w:tabs>
          <w:tab w:leader="none" w:pos="1290" w:val="left"/>
        </w:tabs>
        <w:numPr>
          <w:ilvl w:val="1"/>
          <w:numId w:val="3"/>
        </w:numPr>
        <w:rPr>
          <w:rFonts w:ascii="Arial" w:cs="Arial" w:eastAsia="Arial" w:hAnsi="Arial"/>
          <w:sz w:val="16"/>
          <w:szCs w:val="16"/>
          <w:color w:val="auto"/>
        </w:rPr>
      </w:pPr>
      <w:r>
        <w:rPr>
          <w:rFonts w:ascii="Arial" w:cs="Arial" w:eastAsia="Arial" w:hAnsi="Arial"/>
          <w:sz w:val="16"/>
          <w:szCs w:val="16"/>
          <w:color w:val="auto"/>
        </w:rPr>
        <w:t>In the New Orleans market, we have leased and are remodeling a portion of the bottom floor of the Energy Centre Building on Poydras Street. Completion is expected in the third quarter of 2026. Once complete, we plan to relocate the Baronne Street retail banking center and the New Orleans market leadership and lenders to this updated, convenient, and visible location.</w:t>
      </w:r>
    </w:p>
    <w:p>
      <w:pPr>
        <w:spacing w:after="0" w:line="83" w:lineRule="exact"/>
        <w:rPr>
          <w:rFonts w:ascii="Arial" w:cs="Arial" w:eastAsia="Arial" w:hAnsi="Arial"/>
          <w:sz w:val="16"/>
          <w:szCs w:val="16"/>
          <w:color w:val="auto"/>
        </w:rPr>
      </w:pPr>
    </w:p>
    <w:p>
      <w:pPr>
        <w:ind w:left="1300" w:right="260" w:hanging="320"/>
        <w:spacing w:after="0" w:line="286" w:lineRule="auto"/>
        <w:tabs>
          <w:tab w:leader="none" w:pos="1290" w:val="left"/>
        </w:tabs>
        <w:numPr>
          <w:ilvl w:val="1"/>
          <w:numId w:val="3"/>
        </w:numPr>
        <w:rPr>
          <w:rFonts w:ascii="Arial" w:cs="Arial" w:eastAsia="Arial" w:hAnsi="Arial"/>
          <w:sz w:val="16"/>
          <w:szCs w:val="16"/>
          <w:color w:val="auto"/>
        </w:rPr>
      </w:pPr>
      <w:r>
        <w:rPr>
          <w:rFonts w:ascii="Arial" w:cs="Arial" w:eastAsia="Arial" w:hAnsi="Arial"/>
          <w:sz w:val="16"/>
          <w:szCs w:val="16"/>
          <w:color w:val="auto"/>
        </w:rPr>
        <w:t>In the Acadiana market, we held a ground-breaking ceremony in January 2026 for our second full-service banking center in this market, located on Camellia Boulevard in Lafayette, Louisiana. We expect this location to open early in 2027.</w:t>
      </w:r>
    </w:p>
    <w:p>
      <w:pPr>
        <w:spacing w:after="0" w:line="74" w:lineRule="exact"/>
        <w:rPr>
          <w:rFonts w:ascii="Arial" w:cs="Arial" w:eastAsia="Arial" w:hAnsi="Arial"/>
          <w:sz w:val="16"/>
          <w:szCs w:val="16"/>
          <w:color w:val="auto"/>
        </w:rPr>
      </w:pPr>
    </w:p>
    <w:p>
      <w:pPr>
        <w:ind w:left="660" w:right="60" w:hanging="328"/>
        <w:spacing w:after="0" w:line="227"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first quarter of 2026, S&amp;P Global Market Intelligence ranked the Bank 42</w:t>
      </w:r>
      <w:r>
        <w:rPr>
          <w:rFonts w:ascii="Arial" w:cs="Arial" w:eastAsia="Arial" w:hAnsi="Arial"/>
          <w:sz w:val="21"/>
          <w:szCs w:val="21"/>
          <w:color w:val="auto"/>
          <w:vertAlign w:val="superscript"/>
        </w:rPr>
        <w:t>nd</w:t>
      </w:r>
      <w:r>
        <w:rPr>
          <w:rFonts w:ascii="Arial" w:cs="Arial" w:eastAsia="Arial" w:hAnsi="Arial"/>
          <w:sz w:val="16"/>
          <w:szCs w:val="16"/>
          <w:color w:val="auto"/>
        </w:rPr>
        <w:t xml:space="preserve"> of the top 50 best deposit franchises in 2025 for banks with assets between $3.0 and $10.0 billion.</w:t>
      </w:r>
    </w:p>
    <w:p>
      <w:pPr>
        <w:spacing w:after="0" w:line="110"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April 6, 2026, Jim Nelson was appointed as Market President for the New Orleans market.</w:t>
      </w:r>
    </w:p>
    <w:p>
      <w:pPr>
        <w:spacing w:after="0" w:line="140"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Blake Chatelain, President and Chief Executive Officer, stated, “We are pleased to report another strong quarter of financial results to start 2026. As a result of our consistent earnings and strong capital levels, the board of directors approved a 66.7% increase to the quarterly cash dividend for the first quarter of 2026 to $0.25 per share.</w:t>
      </w:r>
    </w:p>
    <w:p>
      <w:pPr>
        <w:spacing w:after="0" w:line="70"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“Net income and EPS in the first quarter of 2026 were at record-high levels and benefited from periodic rebates and refunds from vendors. We continue to remain focused on managing the net interest margin FTE, which remained steady at 3.51% between the first quarter of 2026 and the prior quarter.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5" w:right="339" w:bottom="1440" w:gutter="0" w:footer="0" w:header="0"/>
        </w:sectPr>
      </w:pPr>
    </w:p>
    <w:bookmarkStart w:id="4" w:name="page5"/>
    <w:bookmarkEnd w:id="4"/>
    <w:p>
      <w:pPr>
        <w:jc w:val="both"/>
        <w:ind w:right="80"/>
        <w:spacing w:after="0" w:line="266" w:lineRule="auto"/>
        <w:rPr>
          <w:sz w:val="20"/>
          <w:szCs w:val="20"/>
          <w:color w:val="auto"/>
        </w:rPr>
      </w:pPr>
      <w:r>
        <w:rPr>
          <w:rFonts w:ascii="Arial" w:cs="Arial" w:eastAsia="Arial" w:hAnsi="Arial"/>
          <w:sz w:val="16"/>
          <w:szCs w:val="16"/>
          <w:color w:val="auto"/>
        </w:rPr>
        <w:t>“In the second half of 2025, we experienced strong loan growth. In the first quarter of 2026, loans were consistent with the prior quarter; however, based on loan pipeline activity, we are expecting loan growth to resume during the remainder of the year. Deposit activity was solid in the first quarter of 2026, and the slight decrease in deposits was a result of the seasonal outflows of public funds that occur every year.</w:t>
      </w:r>
    </w:p>
    <w:p>
      <w:pPr>
        <w:spacing w:after="0" w:line="90"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remain focused on our organic growth strategy. We are relocating several locations, building a new banking center, and constantly recruiting new bankers to join the Red River Bank team. We are very pleased to announce Jim Nelson as the New Orleans market president. Jim is a dynamic leader with deep ties to the New Orleans market. His experience, vision, and dedication to clients and the community make him the ideal choice to lead the New Orleans market for Red River Bank.</w:t>
      </w:r>
    </w:p>
    <w:p>
      <w:pPr>
        <w:spacing w:after="0" w:line="9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“As we move through 2026, we are well-positioned for continued progress and success. However, the world events in March 2026 remind us of how quickly situations can change. We are watching the situation in Iran and around the world closely. These actions certainly have the potential to impact the environment for all banks, businesses, and individuals. Uncertainty related to these events are impacting the United States and global economies. Increasing oil, gas, and energy prices are impacting inflation and could influence future interest rates. The 2026 forecast is challenging to predict; therefore, we remain positive, yet vigilant, as we monitor our communities and stay close to our customers. As always, we remain committed to serving our customers, growing, and providing steady financial results for our shareholders.”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Interest Income and Net Interest Margin FTE</w:t>
      </w:r>
    </w:p>
    <w:p>
      <w:pPr>
        <w:spacing w:after="0" w:line="12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Net interest income for the first quarter of 2026 was $28.4 million, slightly higher than the fourth quarter of 2025, despite the first quarter having two fewer accrual days. Net interest margin FTE was 3.51% for the first quarter of 2026, which was consistent with the prior quarter. Average loan balances increased slightly with no change in total loan yield. For the first quarter of 2026, the average rate on new and renewed loans was 6.71%. While the balance of average short-term liquid assets increased, the yield decreased due to the reduction of the target federal funds rate in December. Interest expense was impacted by a 3 basis point (“bp(s)”) decrease to the cost of deposits as we lowered selected deposit rates, partially offset by higher average deposit balances.</w:t>
      </w:r>
    </w:p>
    <w:p>
      <w:pPr>
        <w:spacing w:after="0" w:line="9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In the second half of 2025, the Federal Open Market Committee (“FOMC”) reduced the federal funds rate by 75 bps, resulting in a range of 3.50%-3.75%, which remained throughout the first quarter of 2026. The market’s expectation is that the federal funds range may remain consistent in 2026. During the remainder of 2026, we project $201.4 million of fixed rate loans at 5.87% to mature, which we expect to redeploy into loans with slightly higher rates. We have $463.8 million of floating rate loans at 6.16%, which we expect to remain at a consistent rate. We also expect to receive $90.9 million in securities cash flows at 3.66%, which we plan to redeploy into securities at higher yields. We project $515.0 million in time deposits at 3.50% to mature, with the opportunity to reprice slightly lower. Depending on balance sheet activity and interest rate competition, we expect net interest income and net interest margin FTE to increase slightly in the second quarter of 2026.</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Noninterest Income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Noninterest income totaled $4.5 million for the first quarter of 2026, down $416,000, or 8.4%, from the previous quarter.</w:t>
      </w:r>
    </w:p>
    <w:p>
      <w:pPr>
        <w:spacing w:after="0" w:line="127" w:lineRule="exact"/>
        <w:rPr>
          <w:sz w:val="20"/>
          <w:szCs w:val="20"/>
          <w:color w:val="auto"/>
        </w:rPr>
      </w:pPr>
    </w:p>
    <w:p>
      <w:pPr>
        <w:jc w:val="both"/>
        <w:ind w:right="180"/>
        <w:spacing w:after="0" w:line="275" w:lineRule="auto"/>
        <w:rPr>
          <w:sz w:val="20"/>
          <w:szCs w:val="20"/>
          <w:color w:val="auto"/>
        </w:rPr>
      </w:pPr>
      <w:r>
        <w:rPr>
          <w:rFonts w:ascii="Arial" w:cs="Arial" w:eastAsia="Arial" w:hAnsi="Arial"/>
          <w:sz w:val="16"/>
          <w:szCs w:val="16"/>
          <w:color w:val="auto"/>
        </w:rPr>
        <w:t>Other income was $83,000 for the first quarter of 2026, down $106,000, or 56.1%, from the previous quarter. The fourth quarter of 2025 included $127,000 of nonrecurring JAM FINTOP Banktech, L.P. fund partnership income, following the sale of an investment and subsequent distribution. Similar income was not recognized in the first quarter of 2026.</w:t>
      </w:r>
    </w:p>
    <w:p>
      <w:pPr>
        <w:spacing w:after="0" w:line="83" w:lineRule="exact"/>
        <w:rPr>
          <w:sz w:val="20"/>
          <w:szCs w:val="20"/>
          <w:color w:val="auto"/>
        </w:rPr>
      </w:pPr>
    </w:p>
    <w:p>
      <w:pPr>
        <w:jc w:val="both"/>
        <w:ind w:right="140"/>
        <w:spacing w:after="0" w:line="275" w:lineRule="auto"/>
        <w:rPr>
          <w:sz w:val="20"/>
          <w:szCs w:val="20"/>
          <w:color w:val="auto"/>
        </w:rPr>
      </w:pPr>
      <w:r>
        <w:rPr>
          <w:rFonts w:ascii="Arial" w:cs="Arial" w:eastAsia="Arial" w:hAnsi="Arial"/>
          <w:sz w:val="16"/>
          <w:szCs w:val="16"/>
          <w:color w:val="auto"/>
        </w:rPr>
        <w:t>The Small Business Investment Company (“SBIC”) partnerships reported a loss of $105,000 in the first quarter of 2026, compared to a loss of $197,000 in the previous quarter. These losses were mainly due to fund value adjustments as an SBIC fund continues its wind-down phase. We expect SBIC income to fluctuate in future quarters.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totaled $17.3 million for the first quarter of 2026, down $1.0 million, or 5.5%, from the previous quarter.</w:t>
      </w:r>
    </w:p>
    <w:p>
      <w:pPr>
        <w:spacing w:after="0" w:line="140" w:lineRule="exact"/>
        <w:rPr>
          <w:sz w:val="20"/>
          <w:szCs w:val="20"/>
          <w:color w:val="auto"/>
        </w:rPr>
      </w:pPr>
    </w:p>
    <w:p>
      <w:pPr>
        <w:jc w:val="both"/>
        <w:ind w:right="180"/>
        <w:spacing w:after="0" w:line="286" w:lineRule="auto"/>
        <w:rPr>
          <w:sz w:val="20"/>
          <w:szCs w:val="20"/>
          <w:color w:val="auto"/>
        </w:rPr>
      </w:pPr>
      <w:r>
        <w:rPr>
          <w:rFonts w:ascii="Arial" w:cs="Arial" w:eastAsia="Arial" w:hAnsi="Arial"/>
          <w:sz w:val="16"/>
          <w:szCs w:val="16"/>
          <w:color w:val="auto"/>
        </w:rPr>
        <w:t>Personnel expenses totaled $10.5 million for the first quarter of 2026, down $437,000, or 4.0%, from the previous quarter. This decrease was primarily due to lower personnel-related accruals and lower revenue-based commissions. We had 375 total employees as of March 31, 2026 and December 31, 2025.</w:t>
      </w:r>
    </w:p>
    <w:p>
      <w:pPr>
        <w:spacing w:after="0" w:line="75"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Data processing expenses totaled $377,000 for the first quarter of 2026, down $336,000, or 47.1%, from the previous quarter. This decrease was mainly attributable to receipt of a $389,000 periodic refund from our data processing center in the first quarter of 2026.</w:t>
      </w:r>
    </w:p>
    <w:p>
      <w:pPr>
        <w:spacing w:after="0" w:line="7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Loan and deposit expenses totaled $103,000 for the first quarter of 2026, down $212,000, or 67.3%, from the previous quarter. This decrease was primarily attributable to receipt of a $201,000 negotiated, variable rebate from a vendor in the first quarter of 2026.</w:t>
      </w:r>
    </w:p>
    <w:p>
      <w:pPr>
        <w:spacing w:after="0" w:line="75" w:lineRule="exact"/>
        <w:rPr>
          <w:sz w:val="20"/>
          <w:szCs w:val="20"/>
          <w:color w:val="auto"/>
        </w:rPr>
      </w:pPr>
    </w:p>
    <w:p>
      <w:pPr>
        <w:jc w:val="both"/>
        <w:ind w:right="160"/>
        <w:spacing w:after="0" w:line="275" w:lineRule="auto"/>
        <w:rPr>
          <w:sz w:val="20"/>
          <w:szCs w:val="20"/>
          <w:color w:val="auto"/>
        </w:rPr>
      </w:pPr>
      <w:r>
        <w:rPr>
          <w:rFonts w:ascii="Arial" w:cs="Arial" w:eastAsia="Arial" w:hAnsi="Arial"/>
          <w:sz w:val="16"/>
          <w:szCs w:val="16"/>
          <w:color w:val="auto"/>
        </w:rPr>
        <w:t>Other taxes totaled $560,000 for the first quarter of 2026, down $23,000, or 3.9%, from the previous quarter. In 2025, Louisiana corporate income tax rates were lowered. In order for financial institutions to be included in this benefit, the State of Louisiana bank stock tax calculation was adjusted effective 2026, which resulted in other taxes being lower in the first quarter of 2026.</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327"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Loans</w:t>
      </w:r>
    </w:p>
    <w:p>
      <w:pPr>
        <w:spacing w:after="0" w:line="127"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Loans HFI were $2.25 billion as of March 31, 2026 and December 31, 2025. In the first quarter of 2026, new loan originations and construction commitment fundings were offset by payments and payoffs. As of March 31, 2026, we had $111.8 million of unfunded construction loan commitments, which we expect to fund over time.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5"/>
          </w:tcPr>
          <w:p>
            <w:pPr>
              <w:jc w:val="right"/>
              <w:spacing w:after="0"/>
              <w:rPr>
                <w:sz w:val="20"/>
                <w:szCs w:val="20"/>
                <w:color w:val="auto"/>
              </w:rPr>
            </w:pPr>
            <w:r>
              <w:rPr>
                <w:rFonts w:ascii="Arial" w:cs="Arial" w:eastAsia="Arial" w:hAnsi="Arial"/>
                <w:sz w:val="16"/>
                <w:szCs w:val="16"/>
                <w:b w:val="1"/>
                <w:bCs w:val="1"/>
                <w:color w:val="auto"/>
              </w:rPr>
              <w:t>Loans HFI by Category</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gridSpan w:val="3"/>
            <w:vMerge w:val="restart"/>
          </w:tcPr>
          <w:p>
            <w:pPr>
              <w:jc w:val="center"/>
              <w:ind w:right="99"/>
              <w:spacing w:after="0"/>
              <w:rPr>
                <w:sz w:val="20"/>
                <w:szCs w:val="20"/>
                <w:color w:val="auto"/>
              </w:rPr>
            </w:pPr>
            <w:r>
              <w:rPr>
                <w:rFonts w:ascii="Arial" w:cs="Arial" w:eastAsia="Arial" w:hAnsi="Arial"/>
                <w:sz w:val="16"/>
                <w:szCs w:val="16"/>
                <w:b w:val="1"/>
                <w:bCs w:val="1"/>
                <w:color w:val="auto"/>
                <w:w w:val="99"/>
              </w:rPr>
              <w:t>Change from</w:t>
            </w: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4"/>
            <w:vMerge w:val="restart"/>
          </w:tcPr>
          <w:p>
            <w:pPr>
              <w:ind w:left="420"/>
              <w:spacing w:after="0"/>
              <w:rPr>
                <w:sz w:val="20"/>
                <w:szCs w:val="20"/>
                <w:color w:val="auto"/>
              </w:rPr>
            </w:pPr>
            <w:r>
              <w:rPr>
                <w:rFonts w:ascii="Arial" w:cs="Arial" w:eastAsia="Arial" w:hAnsi="Arial"/>
                <w:sz w:val="16"/>
                <w:szCs w:val="16"/>
                <w:b w:val="1"/>
                <w:bCs w:val="1"/>
                <w:color w:val="auto"/>
              </w:rPr>
              <w:t>March 31, 2026</w:t>
            </w:r>
          </w:p>
        </w:tc>
        <w:tc>
          <w:tcPr>
            <w:tcW w:w="180" w:type="dxa"/>
            <w:vAlign w:val="bottom"/>
          </w:tcPr>
          <w:p>
            <w:pPr>
              <w:spacing w:after="0"/>
              <w:rPr>
                <w:sz w:val="14"/>
                <w:szCs w:val="14"/>
                <w:color w:val="auto"/>
              </w:rPr>
            </w:pPr>
          </w:p>
        </w:tc>
        <w:tc>
          <w:tcPr>
            <w:tcW w:w="2300" w:type="dxa"/>
            <w:vAlign w:val="bottom"/>
            <w:gridSpan w:val="4"/>
            <w:vMerge w:val="restart"/>
          </w:tcPr>
          <w:p>
            <w:pPr>
              <w:ind w:left="280"/>
              <w:spacing w:after="0"/>
              <w:rPr>
                <w:sz w:val="20"/>
                <w:szCs w:val="20"/>
                <w:color w:val="auto"/>
              </w:rPr>
            </w:pPr>
            <w:r>
              <w:rPr>
                <w:rFonts w:ascii="Arial" w:cs="Arial" w:eastAsia="Arial" w:hAnsi="Arial"/>
                <w:sz w:val="16"/>
                <w:szCs w:val="16"/>
                <w:b w:val="1"/>
                <w:bCs w:val="1"/>
                <w:color w:val="auto"/>
              </w:rPr>
              <w:t>December 31, 2025</w:t>
            </w:r>
          </w:p>
        </w:tc>
        <w:tc>
          <w:tcPr>
            <w:tcW w:w="140" w:type="dxa"/>
            <w:vAlign w:val="bottom"/>
          </w:tcPr>
          <w:p>
            <w:pPr>
              <w:spacing w:after="0"/>
              <w:rPr>
                <w:sz w:val="14"/>
                <w:szCs w:val="14"/>
                <w:color w:val="auto"/>
              </w:rPr>
            </w:pPr>
          </w:p>
        </w:tc>
        <w:tc>
          <w:tcPr>
            <w:tcW w:w="2240" w:type="dxa"/>
            <w:vAlign w:val="bottom"/>
            <w:gridSpan w:val="3"/>
          </w:tcPr>
          <w:p>
            <w:pPr>
              <w:jc w:val="center"/>
              <w:ind w:right="99"/>
              <w:spacing w:after="0" w:line="162" w:lineRule="exact"/>
              <w:rPr>
                <w:sz w:val="20"/>
                <w:szCs w:val="20"/>
                <w:color w:val="auto"/>
              </w:rPr>
            </w:pPr>
            <w:r>
              <w:rPr>
                <w:rFonts w:ascii="Arial" w:cs="Arial" w:eastAsia="Arial" w:hAnsi="Arial"/>
                <w:sz w:val="16"/>
                <w:szCs w:val="16"/>
                <w:b w:val="1"/>
                <w:bCs w:val="1"/>
                <w:color w:val="auto"/>
              </w:rPr>
              <w:t>December 31, 2025 to</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3"/>
          </w:tcPr>
          <w:p>
            <w:pPr>
              <w:jc w:val="center"/>
              <w:ind w:right="59"/>
              <w:spacing w:after="0"/>
              <w:rPr>
                <w:sz w:val="20"/>
                <w:szCs w:val="20"/>
                <w:color w:val="auto"/>
              </w:rPr>
            </w:pPr>
            <w:r>
              <w:rPr>
                <w:rFonts w:ascii="Arial" w:cs="Arial" w:eastAsia="Arial" w:hAnsi="Arial"/>
                <w:sz w:val="16"/>
                <w:szCs w:val="16"/>
                <w:b w:val="1"/>
                <w:bCs w:val="1"/>
                <w:color w:val="auto"/>
              </w:rPr>
              <w:t>March 31, 2026</w:t>
            </w:r>
          </w:p>
        </w:tc>
        <w:tc>
          <w:tcPr>
            <w:tcW w:w="0" w:type="dxa"/>
            <w:vAlign w:val="bottom"/>
          </w:tcPr>
          <w:p>
            <w:pPr>
              <w:spacing w:after="0"/>
              <w:rPr>
                <w:sz w:val="1"/>
                <w:szCs w:val="1"/>
                <w:color w:val="auto"/>
              </w:rPr>
            </w:pPr>
          </w:p>
        </w:tc>
      </w:tr>
      <w:tr>
        <w:trPr>
          <w:trHeight w:val="209"/>
        </w:trPr>
        <w:tc>
          <w:tcPr>
            <w:tcW w:w="39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18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Percent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1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Percent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Real estate:</w:t>
            </w: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900" w:type="dxa"/>
            <w:vAlign w:val="bottom"/>
          </w:tcPr>
          <w:p>
            <w:pPr>
              <w:ind w:left="140"/>
              <w:spacing w:after="0"/>
              <w:rPr>
                <w:sz w:val="20"/>
                <w:szCs w:val="20"/>
                <w:color w:val="auto"/>
              </w:rPr>
            </w:pPr>
            <w:r>
              <w:rPr>
                <w:rFonts w:ascii="Arial" w:cs="Arial" w:eastAsia="Arial" w:hAnsi="Arial"/>
                <w:sz w:val="16"/>
                <w:szCs w:val="16"/>
                <w:color w:val="auto"/>
              </w:rPr>
              <w:t>Commercial real estate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910,965</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920,294</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(9,329)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One-to-four family residential</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632,554</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628,762</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3900" w:type="dxa"/>
            <w:vAlign w:val="bottom"/>
          </w:tcPr>
          <w:p>
            <w:pPr>
              <w:ind w:left="140"/>
              <w:spacing w:after="0"/>
              <w:rPr>
                <w:sz w:val="20"/>
                <w:szCs w:val="20"/>
                <w:color w:val="auto"/>
              </w:rPr>
            </w:pPr>
            <w:r>
              <w:rPr>
                <w:rFonts w:ascii="Arial" w:cs="Arial" w:eastAsia="Arial" w:hAnsi="Arial"/>
                <w:sz w:val="16"/>
                <w:szCs w:val="16"/>
                <w:color w:val="auto"/>
              </w:rPr>
              <w:t>Construction and development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240,686</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221,214</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19,472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and industrial</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391,611</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392,824</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6"/>
                <w:szCs w:val="16"/>
                <w:color w:val="auto"/>
              </w:rPr>
              <w:t>Tax-exempt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52,779</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57,541</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(4,762)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25,951</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28,034</w:t>
            </w:r>
          </w:p>
        </w:tc>
        <w:tc>
          <w:tcPr>
            <w:tcW w:w="1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0"/>
        </w:trPr>
        <w:tc>
          <w:tcPr>
            <w:tcW w:w="3900" w:type="dxa"/>
            <w:vAlign w:val="bottom"/>
          </w:tcPr>
          <w:p>
            <w:pPr>
              <w:ind w:left="140"/>
              <w:spacing w:after="0"/>
              <w:rPr>
                <w:sz w:val="20"/>
                <w:szCs w:val="20"/>
                <w:color w:val="auto"/>
              </w:rPr>
            </w:pPr>
            <w:r>
              <w:rPr>
                <w:rFonts w:ascii="Arial" w:cs="Arial" w:eastAsia="Arial" w:hAnsi="Arial"/>
                <w:sz w:val="16"/>
                <w:szCs w:val="16"/>
                <w:color w:val="auto"/>
              </w:rPr>
              <w:t>Total loans HFI</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2,254,546</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2,248,669</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5,877</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Quality and Allowance for Credit Losses</w:t>
      </w:r>
    </w:p>
    <w:p>
      <w:pPr>
        <w:spacing w:after="0" w:line="140"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Nonperforming assets (“NPA(s)”) totaled $4.3 million as of March 31, 2026, an increase of $728,000, or 20.6%, from December 31, 2025, primarily due to an increase in nonaccrual loans and other real estate owned, partially offset by a decrease in past due loans. The ratio of NPAs to assets was 0.13% and 0.11% as of March 31, 2026 and December 31, 2025, respectively.</w:t>
      </w:r>
    </w:p>
    <w:p>
      <w:pPr>
        <w:spacing w:after="0" w:line="90"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provision for credit losses was $750,000 for the first quarter of 2026 and the prior quarter. As of March 31, 2026, the ACL was $24.1 million. The ratio of ACL to loans HFI was 1.07% as of March 31, 2026 and 1.04% as of December 31, 2025. The net charge-offs to average loans ratio was 0.00% for the first quarter of 2026 and 0.01% for the fourth quarter of 2025.</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327"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Deposits</w:t>
      </w:r>
    </w:p>
    <w:p>
      <w:pPr>
        <w:spacing w:after="0" w:line="127"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As of March 31, 2026, deposits were $2.95 billion, a decrease of $17.5 million, or 0.6%, compared to December 31, 2025. The decrease in deposits for the first quarter of 2026 was primarily due to the seasonal outflow of funds from public entity customers exceeding increased commercial deposits.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60" w:type="dxa"/>
            <w:vAlign w:val="bottom"/>
            <w:gridSpan w:val="7"/>
          </w:tcPr>
          <w:p>
            <w:pPr>
              <w:ind w:left="680"/>
              <w:spacing w:after="0"/>
              <w:rPr>
                <w:sz w:val="20"/>
                <w:szCs w:val="20"/>
                <w:color w:val="auto"/>
              </w:rPr>
            </w:pPr>
            <w:r>
              <w:rPr>
                <w:rFonts w:ascii="Arial" w:cs="Arial" w:eastAsia="Arial" w:hAnsi="Arial"/>
                <w:sz w:val="16"/>
                <w:szCs w:val="16"/>
                <w:b w:val="1"/>
                <w:bCs w:val="1"/>
                <w:color w:val="auto"/>
              </w:rPr>
              <w:t>Deposits by Account Type</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gridSpan w:val="3"/>
            <w:vMerge w:val="restart"/>
          </w:tcPr>
          <w:p>
            <w:pPr>
              <w:jc w:val="center"/>
              <w:ind w:right="239"/>
              <w:spacing w:after="0"/>
              <w:rPr>
                <w:sz w:val="20"/>
                <w:szCs w:val="20"/>
                <w:color w:val="auto"/>
              </w:rPr>
            </w:pPr>
            <w:r>
              <w:rPr>
                <w:rFonts w:ascii="Arial" w:cs="Arial" w:eastAsia="Arial" w:hAnsi="Arial"/>
                <w:sz w:val="16"/>
                <w:szCs w:val="16"/>
                <w:b w:val="1"/>
                <w:bCs w:val="1"/>
                <w:color w:val="auto"/>
              </w:rPr>
              <w:t>Change from</w:t>
            </w:r>
          </w:p>
        </w:tc>
        <w:tc>
          <w:tcPr>
            <w:tcW w:w="0" w:type="dxa"/>
            <w:vAlign w:val="bottom"/>
          </w:tcPr>
          <w:p>
            <w:pPr>
              <w:spacing w:after="0"/>
              <w:rPr>
                <w:sz w:val="1"/>
                <w:szCs w:val="1"/>
                <w:color w:val="auto"/>
              </w:rPr>
            </w:pPr>
          </w:p>
        </w:tc>
      </w:tr>
      <w:tr>
        <w:trPr>
          <w:trHeight w:val="143"/>
        </w:trPr>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4"/>
            <w:vMerge w:val="restart"/>
          </w:tcPr>
          <w:p>
            <w:pPr>
              <w:ind w:left="440"/>
              <w:spacing w:after="0"/>
              <w:rPr>
                <w:sz w:val="20"/>
                <w:szCs w:val="20"/>
                <w:color w:val="auto"/>
              </w:rPr>
            </w:pPr>
            <w:r>
              <w:rPr>
                <w:rFonts w:ascii="Arial" w:cs="Arial" w:eastAsia="Arial" w:hAnsi="Arial"/>
                <w:sz w:val="16"/>
                <w:szCs w:val="16"/>
                <w:b w:val="1"/>
                <w:bCs w:val="1"/>
                <w:color w:val="auto"/>
              </w:rPr>
              <w:t>March 31, 2026</w:t>
            </w:r>
          </w:p>
        </w:tc>
        <w:tc>
          <w:tcPr>
            <w:tcW w:w="180" w:type="dxa"/>
            <w:vAlign w:val="bottom"/>
          </w:tcPr>
          <w:p>
            <w:pPr>
              <w:spacing w:after="0"/>
              <w:rPr>
                <w:sz w:val="14"/>
                <w:szCs w:val="14"/>
                <w:color w:val="auto"/>
              </w:rPr>
            </w:pPr>
          </w:p>
        </w:tc>
        <w:tc>
          <w:tcPr>
            <w:tcW w:w="2360" w:type="dxa"/>
            <w:vAlign w:val="bottom"/>
            <w:gridSpan w:val="4"/>
            <w:vMerge w:val="restart"/>
          </w:tcPr>
          <w:p>
            <w:pPr>
              <w:ind w:left="280"/>
              <w:spacing w:after="0"/>
              <w:rPr>
                <w:sz w:val="20"/>
                <w:szCs w:val="20"/>
                <w:color w:val="auto"/>
              </w:rPr>
            </w:pPr>
            <w:r>
              <w:rPr>
                <w:rFonts w:ascii="Arial" w:cs="Arial" w:eastAsia="Arial" w:hAnsi="Arial"/>
                <w:sz w:val="16"/>
                <w:szCs w:val="16"/>
                <w:b w:val="1"/>
                <w:bCs w:val="1"/>
                <w:color w:val="auto"/>
              </w:rPr>
              <w:t>December 31, 2025</w:t>
            </w:r>
          </w:p>
        </w:tc>
        <w:tc>
          <w:tcPr>
            <w:tcW w:w="280" w:type="dxa"/>
            <w:vAlign w:val="bottom"/>
          </w:tcPr>
          <w:p>
            <w:pPr>
              <w:spacing w:after="0"/>
              <w:rPr>
                <w:sz w:val="14"/>
                <w:szCs w:val="14"/>
                <w:color w:val="auto"/>
              </w:rPr>
            </w:pPr>
          </w:p>
        </w:tc>
        <w:tc>
          <w:tcPr>
            <w:tcW w:w="2120" w:type="dxa"/>
            <w:vAlign w:val="bottom"/>
            <w:gridSpan w:val="3"/>
          </w:tcPr>
          <w:p>
            <w:pPr>
              <w:jc w:val="center"/>
              <w:ind w:right="259"/>
              <w:spacing w:after="0" w:line="162" w:lineRule="exact"/>
              <w:rPr>
                <w:sz w:val="20"/>
                <w:szCs w:val="20"/>
                <w:color w:val="auto"/>
              </w:rPr>
            </w:pPr>
            <w:r>
              <w:rPr>
                <w:rFonts w:ascii="Arial" w:cs="Arial" w:eastAsia="Arial" w:hAnsi="Arial"/>
                <w:sz w:val="16"/>
                <w:szCs w:val="16"/>
                <w:b w:val="1"/>
                <w:bCs w:val="1"/>
                <w:color w:val="auto"/>
              </w:rPr>
              <w:t>December 31, 2025 to</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4"/>
            <w:vMerge w:val="continue"/>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3"/>
          </w:tcPr>
          <w:p>
            <w:pPr>
              <w:jc w:val="center"/>
              <w:ind w:right="199"/>
              <w:spacing w:after="0"/>
              <w:rPr>
                <w:sz w:val="20"/>
                <w:szCs w:val="20"/>
                <w:color w:val="auto"/>
              </w:rPr>
            </w:pPr>
            <w:r>
              <w:rPr>
                <w:rFonts w:ascii="Arial" w:cs="Arial" w:eastAsia="Arial" w:hAnsi="Arial"/>
                <w:sz w:val="16"/>
                <w:szCs w:val="16"/>
                <w:b w:val="1"/>
                <w:bCs w:val="1"/>
                <w:color w:val="auto"/>
              </w:rPr>
              <w:t>March 31, 2026</w:t>
            </w:r>
          </w:p>
        </w:tc>
        <w:tc>
          <w:tcPr>
            <w:tcW w:w="0" w:type="dxa"/>
            <w:vAlign w:val="bottom"/>
          </w:tcPr>
          <w:p>
            <w:pPr>
              <w:spacing w:after="0"/>
              <w:rPr>
                <w:sz w:val="1"/>
                <w:szCs w:val="1"/>
                <w:color w:val="auto"/>
              </w:rPr>
            </w:pPr>
          </w:p>
        </w:tc>
      </w:tr>
      <w:tr>
        <w:trPr>
          <w:trHeight w:val="209"/>
        </w:trPr>
        <w:tc>
          <w:tcPr>
            <w:tcW w:w="37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Balance</w:t>
            </w:r>
          </w:p>
        </w:tc>
        <w:tc>
          <w:tcPr>
            <w:tcW w:w="12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of Total</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Balance</w:t>
            </w: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of Total</w:t>
            </w: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8"/>
              </w:rPr>
              <w:t>Change</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Noninterest-bearing demand deposits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916,413</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913,868</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2,545</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5"/>
        </w:trPr>
        <w:tc>
          <w:tcPr>
            <w:tcW w:w="3760" w:type="dxa"/>
            <w:vAlign w:val="bottom"/>
          </w:tcPr>
          <w:p>
            <w:pPr>
              <w:ind w:left="20"/>
              <w:spacing w:after="0"/>
              <w:rPr>
                <w:sz w:val="20"/>
                <w:szCs w:val="20"/>
                <w:color w:val="auto"/>
              </w:rPr>
            </w:pPr>
            <w:r>
              <w:rPr>
                <w:rFonts w:ascii="Arial" w:cs="Arial" w:eastAsia="Arial" w:hAnsi="Arial"/>
                <w:sz w:val="16"/>
                <w:szCs w:val="16"/>
                <w:color w:val="auto"/>
              </w:rPr>
              <w:t>Interest-bearing deposits: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Interest-bearing demand deposits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189,993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198,724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5"/>
        </w:trPr>
        <w:tc>
          <w:tcPr>
            <w:tcW w:w="3760" w:type="dxa"/>
            <w:vAlign w:val="bottom"/>
          </w:tcPr>
          <w:p>
            <w:pPr>
              <w:ind w:left="100"/>
              <w:spacing w:after="0"/>
              <w:rPr>
                <w:sz w:val="20"/>
                <w:szCs w:val="20"/>
                <w:color w:val="auto"/>
              </w:rPr>
            </w:pPr>
            <w:r>
              <w:rPr>
                <w:rFonts w:ascii="Arial" w:cs="Arial" w:eastAsia="Arial" w:hAnsi="Arial"/>
                <w:sz w:val="16"/>
                <w:szCs w:val="16"/>
                <w:color w:val="auto"/>
              </w:rPr>
              <w:t>NOW accounts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465,146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490,376</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(25,230)</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7"/>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Money market accounts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590,107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580,949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5"/>
        </w:trPr>
        <w:tc>
          <w:tcPr>
            <w:tcW w:w="3760" w:type="dxa"/>
            <w:vAlign w:val="bottom"/>
          </w:tcPr>
          <w:p>
            <w:pPr>
              <w:ind w:left="100"/>
              <w:spacing w:after="0"/>
              <w:rPr>
                <w:sz w:val="20"/>
                <w:szCs w:val="20"/>
                <w:color w:val="auto"/>
              </w:rPr>
            </w:pPr>
            <w:r>
              <w:rPr>
                <w:rFonts w:ascii="Arial" w:cs="Arial" w:eastAsia="Arial" w:hAnsi="Arial"/>
                <w:sz w:val="16"/>
                <w:szCs w:val="16"/>
                <w:color w:val="auto"/>
              </w:rPr>
              <w:t>Savings accounts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174,393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168,889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5,504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7"/>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Time deposits less than or equal to $250,000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405,281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407,539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37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Time deposits greater than $250,000</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204,602</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203,067</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interest-bearing deposits</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2,029,522</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2,049,544</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(20,022)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3760" w:type="dxa"/>
            <w:vAlign w:val="bottom"/>
          </w:tcPr>
          <w:p>
            <w:pPr>
              <w:ind w:left="20"/>
              <w:spacing w:after="0"/>
              <w:rPr>
                <w:sz w:val="20"/>
                <w:szCs w:val="20"/>
                <w:color w:val="auto"/>
              </w:rPr>
            </w:pPr>
            <w:r>
              <w:rPr>
                <w:rFonts w:ascii="Arial" w:cs="Arial" w:eastAsia="Arial" w:hAnsi="Arial"/>
                <w:sz w:val="16"/>
                <w:szCs w:val="16"/>
                <w:color w:val="auto"/>
              </w:rPr>
              <w:t>Total deposits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2,945,935</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2,963,412</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(17,477)</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3"/>
        </w:trPr>
        <w:tc>
          <w:tcPr>
            <w:tcW w:w="3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gridSpan w:val="7"/>
          </w:tcPr>
          <w:p>
            <w:pPr>
              <w:ind w:left="620"/>
              <w:spacing w:after="0"/>
              <w:rPr>
                <w:sz w:val="20"/>
                <w:szCs w:val="20"/>
                <w:color w:val="auto"/>
              </w:rPr>
            </w:pPr>
            <w:r>
              <w:rPr>
                <w:rFonts w:ascii="Arial" w:cs="Arial" w:eastAsia="Arial" w:hAnsi="Arial"/>
                <w:sz w:val="16"/>
                <w:szCs w:val="16"/>
                <w:b w:val="1"/>
                <w:bCs w:val="1"/>
                <w:color w:val="auto"/>
              </w:rPr>
              <w:t>Deposits by Customer Type</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3"/>
            <w:vMerge w:val="restart"/>
          </w:tcPr>
          <w:p>
            <w:pPr>
              <w:jc w:val="center"/>
              <w:ind w:right="239"/>
              <w:spacing w:after="0"/>
              <w:rPr>
                <w:sz w:val="20"/>
                <w:szCs w:val="20"/>
                <w:color w:val="auto"/>
              </w:rPr>
            </w:pPr>
            <w:r>
              <w:rPr>
                <w:rFonts w:ascii="Arial" w:cs="Arial" w:eastAsia="Arial" w:hAnsi="Arial"/>
                <w:sz w:val="16"/>
                <w:szCs w:val="16"/>
                <w:b w:val="1"/>
                <w:bCs w:val="1"/>
                <w:color w:val="auto"/>
              </w:rPr>
              <w:t>Change from</w:t>
            </w:r>
          </w:p>
        </w:tc>
        <w:tc>
          <w:tcPr>
            <w:tcW w:w="0" w:type="dxa"/>
            <w:vAlign w:val="bottom"/>
          </w:tcPr>
          <w:p>
            <w:pPr>
              <w:spacing w:after="0"/>
              <w:rPr>
                <w:sz w:val="1"/>
                <w:szCs w:val="1"/>
                <w:color w:val="auto"/>
              </w:rPr>
            </w:pPr>
          </w:p>
        </w:tc>
      </w:tr>
      <w:tr>
        <w:trPr>
          <w:trHeight w:val="143"/>
        </w:trPr>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4"/>
            <w:vMerge w:val="restart"/>
          </w:tcPr>
          <w:p>
            <w:pPr>
              <w:ind w:left="440"/>
              <w:spacing w:after="0"/>
              <w:rPr>
                <w:sz w:val="20"/>
                <w:szCs w:val="20"/>
                <w:color w:val="auto"/>
              </w:rPr>
            </w:pPr>
            <w:r>
              <w:rPr>
                <w:rFonts w:ascii="Arial" w:cs="Arial" w:eastAsia="Arial" w:hAnsi="Arial"/>
                <w:sz w:val="16"/>
                <w:szCs w:val="16"/>
                <w:b w:val="1"/>
                <w:bCs w:val="1"/>
                <w:color w:val="auto"/>
              </w:rPr>
              <w:t>March 31, 2026</w:t>
            </w:r>
          </w:p>
        </w:tc>
        <w:tc>
          <w:tcPr>
            <w:tcW w:w="180" w:type="dxa"/>
            <w:vAlign w:val="bottom"/>
          </w:tcPr>
          <w:p>
            <w:pPr>
              <w:spacing w:after="0"/>
              <w:rPr>
                <w:sz w:val="14"/>
                <w:szCs w:val="14"/>
                <w:color w:val="auto"/>
              </w:rPr>
            </w:pPr>
          </w:p>
        </w:tc>
        <w:tc>
          <w:tcPr>
            <w:tcW w:w="2360" w:type="dxa"/>
            <w:vAlign w:val="bottom"/>
            <w:gridSpan w:val="4"/>
            <w:vMerge w:val="restart"/>
          </w:tcPr>
          <w:p>
            <w:pPr>
              <w:ind w:left="280"/>
              <w:spacing w:after="0"/>
              <w:rPr>
                <w:sz w:val="20"/>
                <w:szCs w:val="20"/>
                <w:color w:val="auto"/>
              </w:rPr>
            </w:pPr>
            <w:r>
              <w:rPr>
                <w:rFonts w:ascii="Arial" w:cs="Arial" w:eastAsia="Arial" w:hAnsi="Arial"/>
                <w:sz w:val="16"/>
                <w:szCs w:val="16"/>
                <w:b w:val="1"/>
                <w:bCs w:val="1"/>
                <w:color w:val="auto"/>
              </w:rPr>
              <w:t>December 31, 2025</w:t>
            </w:r>
          </w:p>
        </w:tc>
        <w:tc>
          <w:tcPr>
            <w:tcW w:w="280" w:type="dxa"/>
            <w:vAlign w:val="bottom"/>
          </w:tcPr>
          <w:p>
            <w:pPr>
              <w:spacing w:after="0"/>
              <w:rPr>
                <w:sz w:val="14"/>
                <w:szCs w:val="14"/>
                <w:color w:val="auto"/>
              </w:rPr>
            </w:pPr>
          </w:p>
        </w:tc>
        <w:tc>
          <w:tcPr>
            <w:tcW w:w="2120" w:type="dxa"/>
            <w:vAlign w:val="bottom"/>
            <w:gridSpan w:val="3"/>
          </w:tcPr>
          <w:p>
            <w:pPr>
              <w:jc w:val="center"/>
              <w:ind w:right="259"/>
              <w:spacing w:after="0" w:line="162" w:lineRule="exact"/>
              <w:rPr>
                <w:sz w:val="20"/>
                <w:szCs w:val="20"/>
                <w:color w:val="auto"/>
              </w:rPr>
            </w:pPr>
            <w:r>
              <w:rPr>
                <w:rFonts w:ascii="Arial" w:cs="Arial" w:eastAsia="Arial" w:hAnsi="Arial"/>
                <w:sz w:val="16"/>
                <w:szCs w:val="16"/>
                <w:b w:val="1"/>
                <w:bCs w:val="1"/>
                <w:color w:val="auto"/>
              </w:rPr>
              <w:t>December 31, 2025 to</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4"/>
            <w:vMerge w:val="continue"/>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3"/>
          </w:tcPr>
          <w:p>
            <w:pPr>
              <w:jc w:val="center"/>
              <w:ind w:right="199"/>
              <w:spacing w:after="0"/>
              <w:rPr>
                <w:sz w:val="20"/>
                <w:szCs w:val="20"/>
                <w:color w:val="auto"/>
              </w:rPr>
            </w:pPr>
            <w:r>
              <w:rPr>
                <w:rFonts w:ascii="Arial" w:cs="Arial" w:eastAsia="Arial" w:hAnsi="Arial"/>
                <w:sz w:val="16"/>
                <w:szCs w:val="16"/>
                <w:b w:val="1"/>
                <w:bCs w:val="1"/>
                <w:color w:val="auto"/>
              </w:rPr>
              <w:t>March 31, 2026</w:t>
            </w:r>
          </w:p>
        </w:tc>
        <w:tc>
          <w:tcPr>
            <w:tcW w:w="0" w:type="dxa"/>
            <w:vAlign w:val="bottom"/>
          </w:tcPr>
          <w:p>
            <w:pPr>
              <w:spacing w:after="0"/>
              <w:rPr>
                <w:sz w:val="1"/>
                <w:szCs w:val="1"/>
                <w:color w:val="auto"/>
              </w:rPr>
            </w:pPr>
          </w:p>
        </w:tc>
      </w:tr>
      <w:tr>
        <w:trPr>
          <w:trHeight w:val="210"/>
        </w:trPr>
        <w:tc>
          <w:tcPr>
            <w:tcW w:w="37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Balance</w:t>
            </w:r>
          </w:p>
        </w:tc>
        <w:tc>
          <w:tcPr>
            <w:tcW w:w="12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of Total</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Balance</w:t>
            </w: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of Total</w:t>
            </w: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8"/>
              </w:rPr>
              <w:t>Change</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1,409,126</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1,397,775</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11,351</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5"/>
        </w:trPr>
        <w:tc>
          <w:tcPr>
            <w:tcW w:w="376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1,296,580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1,270,069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26,511</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240,229</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295,568</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(55,339)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0"/>
        </w:trPr>
        <w:tc>
          <w:tcPr>
            <w:tcW w:w="3760" w:type="dxa"/>
            <w:vAlign w:val="bottom"/>
          </w:tcPr>
          <w:p>
            <w:pPr>
              <w:ind w:left="220"/>
              <w:spacing w:after="0"/>
              <w:rPr>
                <w:sz w:val="20"/>
                <w:szCs w:val="20"/>
                <w:color w:val="auto"/>
              </w:rPr>
            </w:pPr>
            <w:r>
              <w:rPr>
                <w:rFonts w:ascii="Arial" w:cs="Arial" w:eastAsia="Arial" w:hAnsi="Arial"/>
                <w:sz w:val="16"/>
                <w:szCs w:val="16"/>
                <w:color w:val="auto"/>
              </w:rPr>
              <w:t>Total deposits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2,945,935</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2,963,412</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(17,477)</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Stockholders’ Equity</w:t>
      </w:r>
    </w:p>
    <w:p>
      <w:pPr>
        <w:spacing w:after="0" w:line="140"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Total stockholders’ equity as of March 31, 2026, was $373.3 million, compared to $365.2 million as of December 31, 2025. The $8.2 million, or 2.2%, increase in stockholders’ equity during the first quarter of 2026 was attributable to $12.0 million of net income and $160,000 of stock compensation, partially offset by a $2.3 million, net of tax, market adjustment to accumulated other comprehensive loss related to securities and $1.6 million in cash dividends related to a $0.25 per share cash dividend that we paid on March 19, 2026.</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327"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Non-GAAP Disclosure</w:t>
      </w:r>
    </w:p>
    <w:p>
      <w:pPr>
        <w:spacing w:after="0" w:line="12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Our accounting and reporting policies conform to United States generally accepted accounting principles (“GAAP”) and the prevailing practices in the banking industry. Certain financial measures used by management to evaluate our operating performance are discussed as supplemental non-GAAP performance measures. In accordance with the Securities and Exchange Commission’s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w:t>
      </w:r>
    </w:p>
    <w:p>
      <w:pPr>
        <w:spacing w:after="0" w:line="9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Management and the board of directors review total tangible common equity, total realized common equity, total tangible assets, tangible book value per share, realized book value per share, and tangible common equity to tangible assets as part of managing operating performance. However, these non-GAAP financial measures should not be considered in isolation or as a substitute for the most directly comparable or other financial measures calculated in accordance with GAAP. Moreover, the manner we calculate the non-GAAP financial measures that are discussed may differ from that of other companies’ reporting measures with similar names. It is important to understand how such other banking organizations calculate and name their financial measures similar to the non-GAAP financial measures discussed by us when comparing such non-GAAP financial measures.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non-GAAP financial measures to the comparable GAAP financial measures is included within the following financial statement tables.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Red River Bancshares, Inc.</w:t>
      </w:r>
    </w:p>
    <w:p>
      <w:pPr>
        <w:spacing w:after="0" w:line="140"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Red River Bancshares, Inc. is the bank holding company for Red River Bank, a Louisiana state-chartered bank established in 1999 that provides a fully integrated suite of banking products and services tailored to the needs of our commercial and retail customers. Red River Bank operates from a network of 28 banking centers throughout Louisiana and two combined loan and deposit production offices, one each in New Orleans, Louisiana and Lafayette, Louisiana. Banking centers are located in the following Louisiana markets: Central, which includes the Alexandria metropolitan statistical area (“MSA”); Northwest, which includes the Shreveport-Bossier City MSA; Capital, which includes the Baton Rouge MSA; Southwest, which includes the Lake Charles MSA; the Northshore, which includes the Slidell-Mandeville-Covington MSA; Acadiana, which includes the Lafayette MSA; and New Orleans, which includes the New Orleans-Metairie MSA.</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6"/>
          <w:szCs w:val="16"/>
          <w:i w:val="1"/>
          <w:iCs w:val="1"/>
          <w:color w:val="auto"/>
        </w:rPr>
        <w:t>Statements in this news release regarding our expectations and beliefs about our future financial performance and financial condition, as well as trends in our business, interest rates, and markets, are “forward-looking statements” within the meaning of Section 27A of the Securities Act of 1933, as amended, and Section 21E of the Securities Exchange Act of 1934, as amended. Forward-looking statements often include words such as “believe,” “expect,” “anticipate,” “intend,” “plan,” “estimate,” “project,” “outlook,” or words of similar meaning, or future or conditional verbs such as “will,” “would,” “should,” “could,” or “may.” The forward-looking statements in this news release are based on current information and on assumptions that we make about future events and circumstances that are subject to a number of risks and uncertainties that are often difficult to predict and beyond our control. As a result of those risks and uncertainties, our actual financial results in the future could differ, possibly materially, from those expressed in or implied by the forward-looking statements contained in this news release and could cause us to make changes to our future plans. Additional information regarding these and other risks and uncertainties to which our business and future financial performance are subject is contained in the section titled “Risk Factors” in our most recent Annual Report on Form 10-K and any subsequent quarterly reports on Form 10-Q, and in other documents that we file with the SEC from time to time. In addition, our actual financial results in the future may differ from those currently expected due to additional risks and uncertainties of which we are not currently aware or which we do not currently view as, but in the future may become, material to our business or operating results. Due to these and other possible uncertainties and risks, readers are cautioned not to place undue reliance on the forward-looking statements contained in this news release or to make predictions based solely on historical financial performance. Any forward-looking statement speaks only as of the date on which it is made, and we do not undertake any obligation to update or review any forward-looking statement, whether as a result of new information, future developments or otherwise, except as required by law. All forward-looking statements, express or implied, included in this news release are qualified in their entirety by this cautionary statement.</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Isabel V. Carriere, CPA, CGMA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Senior Executive Vice President, Chief Financial Officer, and Assistant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318-561-4023</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icarriere@redriverbank.net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20"/>
          </w:cols>
          <w:pgMar w:left="320" w:top="1327"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FINANCIAL HIGHLIGHTS (UNAUDITED)</w:t>
      </w:r>
    </w:p>
    <w:p>
      <w:pPr>
        <w:spacing w:after="0" w:line="262" w:lineRule="exact"/>
        <w:rPr>
          <w:sz w:val="20"/>
          <w:szCs w:val="20"/>
          <w:color w:val="auto"/>
        </w:rPr>
      </w:pPr>
    </w:p>
    <w:p>
      <w:pPr>
        <w:jc w:val="center"/>
        <w:ind w:left="7080"/>
        <w:spacing w:after="0"/>
        <w:rPr>
          <w:sz w:val="20"/>
          <w:szCs w:val="20"/>
          <w:color w:val="auto"/>
        </w:rPr>
      </w:pPr>
      <w:r>
        <w:rPr>
          <w:rFonts w:ascii="Arial" w:cs="Arial" w:eastAsia="Arial" w:hAnsi="Arial"/>
          <w:sz w:val="16"/>
          <w:szCs w:val="16"/>
          <w:b w:val="1"/>
          <w:bCs w:val="1"/>
          <w:color w:val="auto"/>
        </w:rPr>
        <w:t>As of and for the</w:t>
      </w:r>
    </w:p>
    <w:p>
      <w:pPr>
        <w:spacing w:after="0" w:line="21" w:lineRule="exact"/>
        <w:rPr>
          <w:sz w:val="20"/>
          <w:szCs w:val="20"/>
          <w:color w:val="auto"/>
        </w:rPr>
      </w:pPr>
    </w:p>
    <w:p>
      <w:pPr>
        <w:jc w:val="center"/>
        <w:ind w:left="7080"/>
        <w:spacing w:after="0"/>
        <w:rPr>
          <w:sz w:val="20"/>
          <w:szCs w:val="20"/>
          <w:color w:val="auto"/>
        </w:rPr>
      </w:pPr>
      <w:r>
        <w:rPr>
          <w:rFonts w:ascii="Arial" w:cs="Arial" w:eastAsia="Arial" w:hAnsi="Arial"/>
          <w:sz w:val="16"/>
          <w:szCs w:val="16"/>
          <w:b w:val="1"/>
          <w:bCs w:val="1"/>
          <w:color w:val="auto"/>
        </w:rPr>
        <w:t>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 except per share data)</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March 31,</w:t>
            </w: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75"/>
        </w:trPr>
        <w:tc>
          <w:tcPr>
            <w:tcW w:w="71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2026</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11,971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11,415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10,352</w:t>
            </w:r>
          </w:p>
        </w:tc>
        <w:tc>
          <w:tcPr>
            <w:tcW w:w="0" w:type="dxa"/>
            <w:vAlign w:val="bottom"/>
          </w:tcPr>
          <w:p>
            <w:pPr>
              <w:spacing w:after="0"/>
              <w:rPr>
                <w:sz w:val="1"/>
                <w:szCs w:val="1"/>
                <w:color w:val="auto"/>
              </w:rPr>
            </w:pPr>
          </w:p>
        </w:tc>
      </w:tr>
      <w:tr>
        <w:trPr>
          <w:trHeight w:val="256"/>
        </w:trPr>
        <w:tc>
          <w:tcPr>
            <w:tcW w:w="7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Per Common Share Data:</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100" w:type="dxa"/>
            <w:vAlign w:val="bottom"/>
          </w:tcPr>
          <w:p>
            <w:pPr>
              <w:ind w:left="180"/>
              <w:spacing w:after="0"/>
              <w:rPr>
                <w:sz w:val="20"/>
                <w:szCs w:val="20"/>
                <w:color w:val="auto"/>
              </w:rPr>
            </w:pPr>
            <w:r>
              <w:rPr>
                <w:rFonts w:ascii="Arial" w:cs="Arial" w:eastAsia="Arial" w:hAnsi="Arial"/>
                <w:sz w:val="16"/>
                <w:szCs w:val="16"/>
                <w:color w:val="auto"/>
              </w:rPr>
              <w:t>Earnings per share, basic</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44"/>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Earnings per share, diluted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42"/>
        </w:trPr>
        <w:tc>
          <w:tcPr>
            <w:tcW w:w="7100" w:type="dxa"/>
            <w:vAlign w:val="bottom"/>
          </w:tcPr>
          <w:p>
            <w:pPr>
              <w:ind w:left="180"/>
              <w:spacing w:after="0"/>
              <w:rPr>
                <w:sz w:val="20"/>
                <w:szCs w:val="20"/>
                <w:color w:val="auto"/>
              </w:rPr>
            </w:pPr>
            <w:r>
              <w:rPr>
                <w:rFonts w:ascii="Arial" w:cs="Arial" w:eastAsia="Arial" w:hAnsi="Arial"/>
                <w:sz w:val="16"/>
                <w:szCs w:val="16"/>
                <w:color w:val="auto"/>
              </w:rPr>
              <w:t>Book value per share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56.76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55.52</w:t>
            </w:r>
          </w:p>
        </w:tc>
        <w:tc>
          <w:tcPr>
            <w:tcW w:w="12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49.18</w:t>
            </w:r>
          </w:p>
        </w:tc>
        <w:tc>
          <w:tcPr>
            <w:tcW w:w="0" w:type="dxa"/>
            <w:vAlign w:val="bottom"/>
          </w:tcPr>
          <w:p>
            <w:pPr>
              <w:spacing w:after="0"/>
              <w:rPr>
                <w:sz w:val="1"/>
                <w:szCs w:val="1"/>
                <w:color w:val="auto"/>
              </w:rPr>
            </w:pPr>
          </w:p>
        </w:tc>
      </w:tr>
      <w:tr>
        <w:trPr>
          <w:trHeight w:val="244"/>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Tangible book value per share</w:t>
            </w:r>
            <w:r>
              <w:rPr>
                <w:rFonts w:ascii="Arial" w:cs="Arial" w:eastAsia="Arial" w:hAnsi="Arial"/>
                <w:sz w:val="21"/>
                <w:szCs w:val="21"/>
                <w:color w:val="auto"/>
                <w:vertAlign w:val="superscript"/>
              </w:rPr>
              <w:t>(1)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56.53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55.29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48.95</w:t>
            </w: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6"/>
                <w:szCs w:val="16"/>
                <w:color w:val="auto"/>
              </w:rPr>
              <w:t>Realized book value per share</w:t>
            </w:r>
            <w:r>
              <w:rPr>
                <w:rFonts w:ascii="Arial" w:cs="Arial" w:eastAsia="Arial" w:hAnsi="Arial"/>
                <w:sz w:val="21"/>
                <w:szCs w:val="21"/>
                <w:color w:val="auto"/>
                <w:vertAlign w:val="superscript"/>
              </w:rPr>
              <w:t>(1)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63.70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62.11</w:t>
            </w:r>
          </w:p>
        </w:tc>
        <w:tc>
          <w:tcPr>
            <w:tcW w:w="12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57.49</w:t>
            </w:r>
          </w:p>
        </w:tc>
        <w:tc>
          <w:tcPr>
            <w:tcW w:w="0" w:type="dxa"/>
            <w:vAlign w:val="bottom"/>
          </w:tcPr>
          <w:p>
            <w:pPr>
              <w:spacing w:after="0"/>
              <w:rPr>
                <w:sz w:val="1"/>
                <w:szCs w:val="1"/>
                <w:color w:val="auto"/>
              </w:rPr>
            </w:pPr>
          </w:p>
        </w:tc>
      </w:tr>
      <w:tr>
        <w:trPr>
          <w:trHeight w:val="243"/>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dividends per share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0.25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0.15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35"/>
        </w:trPr>
        <w:tc>
          <w:tcPr>
            <w:tcW w:w="7100" w:type="dxa"/>
            <w:vAlign w:val="bottom"/>
          </w:tcPr>
          <w:p>
            <w:pPr>
              <w:ind w:left="180"/>
              <w:spacing w:after="0"/>
              <w:rPr>
                <w:sz w:val="20"/>
                <w:szCs w:val="20"/>
                <w:color w:val="auto"/>
              </w:rPr>
            </w:pPr>
            <w:r>
              <w:rPr>
                <w:rFonts w:ascii="Arial" w:cs="Arial" w:eastAsia="Arial" w:hAnsi="Arial"/>
                <w:sz w:val="16"/>
                <w:szCs w:val="16"/>
                <w:color w:val="auto"/>
              </w:rPr>
              <w:t>Shares outstanding</w:t>
            </w:r>
          </w:p>
        </w:tc>
        <w:tc>
          <w:tcPr>
            <w:tcW w:w="220" w:type="dxa"/>
            <w:vAlign w:val="bottom"/>
          </w:tcPr>
          <w:p>
            <w:pPr>
              <w:spacing w:after="0"/>
              <w:rPr>
                <w:sz w:val="20"/>
                <w:szCs w:val="20"/>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6,577,186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6,576,609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6,777,657</w:t>
            </w:r>
          </w:p>
        </w:tc>
        <w:tc>
          <w:tcPr>
            <w:tcW w:w="0" w:type="dxa"/>
            <w:vAlign w:val="bottom"/>
          </w:tcPr>
          <w:p>
            <w:pPr>
              <w:spacing w:after="0"/>
              <w:rPr>
                <w:sz w:val="1"/>
                <w:szCs w:val="1"/>
                <w:color w:val="auto"/>
              </w:rPr>
            </w:pPr>
          </w:p>
        </w:tc>
      </w:tr>
      <w:tr>
        <w:trPr>
          <w:trHeight w:val="251"/>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 average shares outstanding, basic</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6,576,994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6,576,609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6,777,332</w:t>
            </w:r>
          </w:p>
        </w:tc>
        <w:tc>
          <w:tcPr>
            <w:tcW w:w="0" w:type="dxa"/>
            <w:vAlign w:val="bottom"/>
          </w:tcPr>
          <w:p>
            <w:pPr>
              <w:spacing w:after="0"/>
              <w:rPr>
                <w:sz w:val="1"/>
                <w:szCs w:val="1"/>
                <w:color w:val="auto"/>
              </w:rPr>
            </w:pPr>
          </w:p>
        </w:tc>
      </w:tr>
      <w:tr>
        <w:trPr>
          <w:trHeight w:val="235"/>
        </w:trPr>
        <w:tc>
          <w:tcPr>
            <w:tcW w:w="7100" w:type="dxa"/>
            <w:vAlign w:val="bottom"/>
          </w:tcPr>
          <w:p>
            <w:pPr>
              <w:ind w:left="180"/>
              <w:spacing w:after="0"/>
              <w:rPr>
                <w:sz w:val="20"/>
                <w:szCs w:val="20"/>
                <w:color w:val="auto"/>
              </w:rPr>
            </w:pPr>
            <w:r>
              <w:rPr>
                <w:rFonts w:ascii="Arial" w:cs="Arial" w:eastAsia="Arial" w:hAnsi="Arial"/>
                <w:sz w:val="16"/>
                <w:szCs w:val="16"/>
                <w:color w:val="auto"/>
              </w:rPr>
              <w:t>Weighted average shares outstanding, diluted</w:t>
            </w:r>
          </w:p>
        </w:tc>
        <w:tc>
          <w:tcPr>
            <w:tcW w:w="220" w:type="dxa"/>
            <w:vAlign w:val="bottom"/>
          </w:tcPr>
          <w:p>
            <w:pPr>
              <w:spacing w:after="0"/>
              <w:rPr>
                <w:sz w:val="20"/>
                <w:szCs w:val="20"/>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6,609,208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6,604,082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6,796,707</w:t>
            </w:r>
          </w:p>
        </w:tc>
        <w:tc>
          <w:tcPr>
            <w:tcW w:w="0" w:type="dxa"/>
            <w:vAlign w:val="bottom"/>
          </w:tcPr>
          <w:p>
            <w:pPr>
              <w:spacing w:after="0"/>
              <w:rPr>
                <w:sz w:val="1"/>
                <w:szCs w:val="1"/>
                <w:color w:val="auto"/>
              </w:rPr>
            </w:pPr>
          </w:p>
        </w:tc>
      </w:tr>
      <w:tr>
        <w:trPr>
          <w:trHeight w:val="264"/>
        </w:trPr>
        <w:tc>
          <w:tcPr>
            <w:tcW w:w="7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Summary Performance Ratios: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Return on average assets</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35"/>
        </w:trPr>
        <w:tc>
          <w:tcPr>
            <w:tcW w:w="7100" w:type="dxa"/>
            <w:vAlign w:val="bottom"/>
          </w:tcPr>
          <w:p>
            <w:pPr>
              <w:ind w:left="180"/>
              <w:spacing w:after="0"/>
              <w:rPr>
                <w:sz w:val="20"/>
                <w:szCs w:val="20"/>
                <w:color w:val="auto"/>
              </w:rPr>
            </w:pPr>
            <w:r>
              <w:rPr>
                <w:rFonts w:ascii="Arial" w:cs="Arial" w:eastAsia="Arial" w:hAnsi="Arial"/>
                <w:sz w:val="16"/>
                <w:szCs w:val="16"/>
                <w:color w:val="auto"/>
              </w:rPr>
              <w:t>Return on average equity</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12.85%</w:t>
            </w:r>
          </w:p>
        </w:tc>
        <w:tc>
          <w:tcPr>
            <w:tcW w:w="0" w:type="dxa"/>
            <w:vAlign w:val="bottom"/>
          </w:tcPr>
          <w:p>
            <w:pPr>
              <w:spacing w:after="0"/>
              <w:rPr>
                <w:sz w:val="1"/>
                <w:szCs w:val="1"/>
                <w:color w:val="auto"/>
              </w:rPr>
            </w:pPr>
          </w:p>
        </w:tc>
      </w:tr>
      <w:tr>
        <w:trPr>
          <w:trHeight w:val="251"/>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interest margin</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35"/>
        </w:trPr>
        <w:tc>
          <w:tcPr>
            <w:tcW w:w="7100" w:type="dxa"/>
            <w:vAlign w:val="bottom"/>
          </w:tcPr>
          <w:p>
            <w:pPr>
              <w:ind w:left="180"/>
              <w:spacing w:after="0"/>
              <w:rPr>
                <w:sz w:val="20"/>
                <w:szCs w:val="20"/>
                <w:color w:val="auto"/>
              </w:rPr>
            </w:pPr>
            <w:r>
              <w:rPr>
                <w:rFonts w:ascii="Arial" w:cs="Arial" w:eastAsia="Arial" w:hAnsi="Arial"/>
                <w:sz w:val="16"/>
                <w:szCs w:val="16"/>
                <w:color w:val="auto"/>
              </w:rPr>
              <w:t>Net interest margin FTE</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51"/>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Efficiency ratio</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55.51%</w:t>
            </w:r>
          </w:p>
        </w:tc>
        <w:tc>
          <w:tcPr>
            <w:tcW w:w="0" w:type="dxa"/>
            <w:vAlign w:val="bottom"/>
          </w:tcPr>
          <w:p>
            <w:pPr>
              <w:spacing w:after="0"/>
              <w:rPr>
                <w:sz w:val="1"/>
                <w:szCs w:val="1"/>
                <w:color w:val="auto"/>
              </w:rPr>
            </w:pPr>
          </w:p>
        </w:tc>
      </w:tr>
      <w:tr>
        <w:trPr>
          <w:trHeight w:val="235"/>
        </w:trPr>
        <w:tc>
          <w:tcPr>
            <w:tcW w:w="7100" w:type="dxa"/>
            <w:vAlign w:val="bottom"/>
          </w:tcPr>
          <w:p>
            <w:pPr>
              <w:ind w:left="180"/>
              <w:spacing w:after="0"/>
              <w:rPr>
                <w:sz w:val="20"/>
                <w:szCs w:val="20"/>
                <w:color w:val="auto"/>
              </w:rPr>
            </w:pPr>
            <w:r>
              <w:rPr>
                <w:rFonts w:ascii="Arial" w:cs="Arial" w:eastAsia="Arial" w:hAnsi="Arial"/>
                <w:sz w:val="16"/>
                <w:szCs w:val="16"/>
                <w:color w:val="auto"/>
              </w:rPr>
              <w:t>Loans HFI to deposits ratio</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75.88%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74.84%</w:t>
            </w:r>
          </w:p>
        </w:tc>
        <w:tc>
          <w:tcPr>
            <w:tcW w:w="0" w:type="dxa"/>
            <w:vAlign w:val="bottom"/>
          </w:tcPr>
          <w:p>
            <w:pPr>
              <w:spacing w:after="0"/>
              <w:rPr>
                <w:sz w:val="1"/>
                <w:szCs w:val="1"/>
                <w:color w:val="auto"/>
              </w:rPr>
            </w:pPr>
          </w:p>
        </w:tc>
      </w:tr>
      <w:tr>
        <w:trPr>
          <w:trHeight w:val="251"/>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Noninterest-bearing deposits to deposits ratio</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32.08%</w:t>
            </w:r>
          </w:p>
        </w:tc>
        <w:tc>
          <w:tcPr>
            <w:tcW w:w="0" w:type="dxa"/>
            <w:vAlign w:val="bottom"/>
          </w:tcPr>
          <w:p>
            <w:pPr>
              <w:spacing w:after="0"/>
              <w:rPr>
                <w:sz w:val="1"/>
                <w:szCs w:val="1"/>
                <w:color w:val="auto"/>
              </w:rPr>
            </w:pPr>
          </w:p>
        </w:tc>
      </w:tr>
      <w:tr>
        <w:trPr>
          <w:trHeight w:val="235"/>
        </w:trPr>
        <w:tc>
          <w:tcPr>
            <w:tcW w:w="7100" w:type="dxa"/>
            <w:vAlign w:val="bottom"/>
          </w:tcPr>
          <w:p>
            <w:pPr>
              <w:ind w:left="180"/>
              <w:spacing w:after="0"/>
              <w:rPr>
                <w:sz w:val="20"/>
                <w:szCs w:val="20"/>
                <w:color w:val="auto"/>
              </w:rPr>
            </w:pPr>
            <w:r>
              <w:rPr>
                <w:rFonts w:ascii="Arial" w:cs="Arial" w:eastAsia="Arial" w:hAnsi="Arial"/>
                <w:sz w:val="16"/>
                <w:szCs w:val="16"/>
                <w:color w:val="auto"/>
              </w:rPr>
              <w:t>Noninterest income to average assets</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251"/>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expense to average assets</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56"/>
        </w:trPr>
        <w:tc>
          <w:tcPr>
            <w:tcW w:w="7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Summary Credit Quality Ratios: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100" w:type="dxa"/>
            <w:vAlign w:val="bottom"/>
          </w:tcPr>
          <w:p>
            <w:pPr>
              <w:ind w:left="180"/>
              <w:spacing w:after="0"/>
              <w:rPr>
                <w:sz w:val="20"/>
                <w:szCs w:val="20"/>
                <w:color w:val="auto"/>
              </w:rPr>
            </w:pPr>
            <w:r>
              <w:rPr>
                <w:rFonts w:ascii="Arial" w:cs="Arial" w:eastAsia="Arial" w:hAnsi="Arial"/>
                <w:sz w:val="16"/>
                <w:szCs w:val="16"/>
                <w:color w:val="auto"/>
              </w:rPr>
              <w:t>NPAs to assets</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51"/>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Nonperforming loans to loans HFI</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35"/>
        </w:trPr>
        <w:tc>
          <w:tcPr>
            <w:tcW w:w="7100" w:type="dxa"/>
            <w:vAlign w:val="bottom"/>
          </w:tcPr>
          <w:p>
            <w:pPr>
              <w:ind w:left="180"/>
              <w:spacing w:after="0"/>
              <w:rPr>
                <w:sz w:val="20"/>
                <w:szCs w:val="20"/>
                <w:color w:val="auto"/>
              </w:rPr>
            </w:pPr>
            <w:r>
              <w:rPr>
                <w:rFonts w:ascii="Arial" w:cs="Arial" w:eastAsia="Arial" w:hAnsi="Arial"/>
                <w:sz w:val="16"/>
                <w:szCs w:val="16"/>
                <w:color w:val="auto"/>
              </w:rPr>
              <w:t>ACL to loans HFI</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51"/>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charge-offs to average loans</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57"/>
        </w:trPr>
        <w:tc>
          <w:tcPr>
            <w:tcW w:w="7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 Ratios:</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100" w:type="dxa"/>
            <w:vAlign w:val="bottom"/>
          </w:tcPr>
          <w:p>
            <w:pPr>
              <w:ind w:left="180"/>
              <w:spacing w:after="0"/>
              <w:rPr>
                <w:sz w:val="20"/>
                <w:szCs w:val="20"/>
                <w:color w:val="auto"/>
              </w:rPr>
            </w:pPr>
            <w:r>
              <w:rPr>
                <w:rFonts w:ascii="Arial" w:cs="Arial" w:eastAsia="Arial" w:hAnsi="Arial"/>
                <w:sz w:val="16"/>
                <w:szCs w:val="16"/>
                <w:color w:val="auto"/>
              </w:rPr>
              <w:t>Stockholders’ equity to assets</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51"/>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Tangible common equity to tangible assets</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0" w:type="dxa"/>
            <w:vAlign w:val="bottom"/>
          </w:tcPr>
          <w:p>
            <w:pPr>
              <w:spacing w:after="0"/>
              <w:rPr>
                <w:sz w:val="1"/>
                <w:szCs w:val="1"/>
                <w:color w:val="auto"/>
              </w:rPr>
            </w:pPr>
          </w:p>
        </w:tc>
      </w:tr>
      <w:tr>
        <w:trPr>
          <w:trHeight w:val="235"/>
        </w:trPr>
        <w:tc>
          <w:tcPr>
            <w:tcW w:w="7100" w:type="dxa"/>
            <w:vAlign w:val="bottom"/>
          </w:tcPr>
          <w:p>
            <w:pPr>
              <w:ind w:left="180"/>
              <w:spacing w:after="0"/>
              <w:rPr>
                <w:sz w:val="20"/>
                <w:szCs w:val="20"/>
                <w:color w:val="auto"/>
              </w:rPr>
            </w:pPr>
            <w:r>
              <w:rPr>
                <w:rFonts w:ascii="Arial" w:cs="Arial" w:eastAsia="Arial" w:hAnsi="Arial"/>
                <w:sz w:val="16"/>
                <w:szCs w:val="16"/>
                <w:color w:val="auto"/>
              </w:rPr>
              <w:t>Total risk-based capital to risk-weighted assets</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18.25%</w:t>
            </w:r>
          </w:p>
        </w:tc>
        <w:tc>
          <w:tcPr>
            <w:tcW w:w="0" w:type="dxa"/>
            <w:vAlign w:val="bottom"/>
          </w:tcPr>
          <w:p>
            <w:pPr>
              <w:spacing w:after="0"/>
              <w:rPr>
                <w:sz w:val="1"/>
                <w:szCs w:val="1"/>
                <w:color w:val="auto"/>
              </w:rPr>
            </w:pPr>
          </w:p>
        </w:tc>
      </w:tr>
      <w:tr>
        <w:trPr>
          <w:trHeight w:val="251"/>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Tier I risk-based capital to risk-weighted assets</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0" w:type="dxa"/>
            <w:vAlign w:val="bottom"/>
          </w:tcPr>
          <w:p>
            <w:pPr>
              <w:spacing w:after="0"/>
              <w:rPr>
                <w:sz w:val="1"/>
                <w:szCs w:val="1"/>
                <w:color w:val="auto"/>
              </w:rPr>
            </w:pPr>
          </w:p>
        </w:tc>
      </w:tr>
      <w:tr>
        <w:trPr>
          <w:trHeight w:val="235"/>
        </w:trPr>
        <w:tc>
          <w:tcPr>
            <w:tcW w:w="7100" w:type="dxa"/>
            <w:vAlign w:val="bottom"/>
          </w:tcPr>
          <w:p>
            <w:pPr>
              <w:ind w:left="180"/>
              <w:spacing w:after="0"/>
              <w:rPr>
                <w:sz w:val="20"/>
                <w:szCs w:val="20"/>
                <w:color w:val="auto"/>
              </w:rPr>
            </w:pPr>
            <w:r>
              <w:rPr>
                <w:rFonts w:ascii="Arial" w:cs="Arial" w:eastAsia="Arial" w:hAnsi="Arial"/>
                <w:sz w:val="16"/>
                <w:szCs w:val="16"/>
                <w:color w:val="auto"/>
              </w:rPr>
              <w:t>Common equity Tier I capital to risk-weighted assets</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17.25%</w:t>
            </w:r>
          </w:p>
        </w:tc>
        <w:tc>
          <w:tcPr>
            <w:tcW w:w="0" w:type="dxa"/>
            <w:vAlign w:val="bottom"/>
          </w:tcPr>
          <w:p>
            <w:pPr>
              <w:spacing w:after="0"/>
              <w:rPr>
                <w:sz w:val="1"/>
                <w:szCs w:val="1"/>
                <w:color w:val="auto"/>
              </w:rPr>
            </w:pPr>
          </w:p>
        </w:tc>
      </w:tr>
      <w:tr>
        <w:trPr>
          <w:trHeight w:val="251"/>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Tier I risk-based capital to average assets</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Non-GAAP financial measure. Calculations of this measure and reconciliations to GAAP are included in the schedules accompanying this release.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421"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b w:val="1"/>
          <w:bCs w:val="1"/>
          <w:color w:val="auto"/>
        </w:rPr>
        <w:t>RED RIVER BANCSHARES, INC.</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 (UNAUDITED)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gridSpan w:val="5"/>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080" w:type="dxa"/>
            <w:vAlign w:val="bottom"/>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280" w:type="dxa"/>
            <w:vAlign w:val="bottom"/>
            <w:tcBorders>
              <w:bottom w:val="single" w:sz="8" w:color="CCEEFF"/>
            </w:tcBorders>
            <w:gridSpan w:val="5"/>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w w:val="98"/>
              </w:rPr>
              <w:t>ASSETS</w:t>
            </w:r>
          </w:p>
        </w:tc>
        <w:tc>
          <w:tcPr>
            <w:tcW w:w="3640" w:type="dxa"/>
            <w:vAlign w:val="bottom"/>
            <w:tcBorders>
              <w:bottom w:val="single" w:sz="8" w:color="CCEEFF"/>
            </w:tcBorders>
            <w:gridSpan w:val="4"/>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gridSpan w:val="5"/>
          </w:tcPr>
          <w:p>
            <w:pPr>
              <w:ind w:left="100"/>
              <w:spacing w:after="0"/>
              <w:rPr>
                <w:sz w:val="20"/>
                <w:szCs w:val="20"/>
                <w:color w:val="auto"/>
              </w:rPr>
            </w:pPr>
            <w:r>
              <w:rPr>
                <w:rFonts w:ascii="Arial" w:cs="Arial" w:eastAsia="Arial" w:hAnsi="Arial"/>
                <w:sz w:val="16"/>
                <w:szCs w:val="16"/>
                <w:color w:val="auto"/>
              </w:rPr>
              <w:t>Cash and due from banks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36,677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25,685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33,651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42,453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36,438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Interest-bearing deposits in other banks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gridSpan w:val="5"/>
          </w:tcPr>
          <w:p>
            <w:pPr>
              <w:ind w:left="100"/>
              <w:spacing w:after="0"/>
              <w:rPr>
                <w:sz w:val="20"/>
                <w:szCs w:val="20"/>
                <w:color w:val="auto"/>
              </w:rPr>
            </w:pPr>
            <w:r>
              <w:rPr>
                <w:rFonts w:ascii="Arial" w:cs="Arial" w:eastAsia="Arial" w:hAnsi="Arial"/>
                <w:sz w:val="16"/>
                <w:szCs w:val="16"/>
                <w:color w:val="auto"/>
              </w:rPr>
              <w:t>Securities available-for-sale, at fair value</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638,729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647,310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636,679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566,981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566,874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Securities held-to-maturity, at amortized cost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129,686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gridSpan w:val="5"/>
          </w:tcPr>
          <w:p>
            <w:pPr>
              <w:ind w:left="100"/>
              <w:spacing w:after="0"/>
              <w:rPr>
                <w:sz w:val="20"/>
                <w:szCs w:val="20"/>
                <w:color w:val="auto"/>
              </w:rPr>
            </w:pPr>
            <w:r>
              <w:rPr>
                <w:rFonts w:ascii="Arial" w:cs="Arial" w:eastAsia="Arial" w:hAnsi="Arial"/>
                <w:sz w:val="16"/>
                <w:szCs w:val="16"/>
                <w:color w:val="auto"/>
              </w:rPr>
              <w:t>Equity securities, at fair value</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2,981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Nonmarketable equity securities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gridSpan w:val="5"/>
          </w:tcPr>
          <w:p>
            <w:pPr>
              <w:ind w:left="100"/>
              <w:spacing w:after="0"/>
              <w:rPr>
                <w:sz w:val="20"/>
                <w:szCs w:val="20"/>
                <w:color w:val="auto"/>
              </w:rPr>
            </w:pPr>
            <w:r>
              <w:rPr>
                <w:rFonts w:ascii="Arial" w:cs="Arial" w:eastAsia="Arial" w:hAnsi="Arial"/>
                <w:sz w:val="16"/>
                <w:szCs w:val="16"/>
                <w:color w:val="auto"/>
              </w:rPr>
              <w:t>Loans held for sale</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2,178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Loans held for investment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2,254,546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2,248,669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2,173,073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2,138,580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2,114,742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gridSpan w:val="5"/>
          </w:tcPr>
          <w:p>
            <w:pPr>
              <w:ind w:left="100"/>
              <w:spacing w:after="0"/>
              <w:rPr>
                <w:sz w:val="20"/>
                <w:szCs w:val="20"/>
                <w:color w:val="auto"/>
              </w:rPr>
            </w:pPr>
            <w:r>
              <w:rPr>
                <w:rFonts w:ascii="Arial" w:cs="Arial" w:eastAsia="Arial" w:hAnsi="Arial"/>
                <w:sz w:val="16"/>
                <w:szCs w:val="16"/>
                <w:color w:val="auto"/>
              </w:rPr>
              <w:t>Allowance for credit losses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(24,051)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(23,399)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(22,801)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(22,222)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(21,835)</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Premises and equipment, net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gridSpan w:val="5"/>
          </w:tcPr>
          <w:p>
            <w:pPr>
              <w:ind w:left="100"/>
              <w:spacing w:after="0"/>
              <w:rPr>
                <w:sz w:val="20"/>
                <w:szCs w:val="20"/>
                <w:color w:val="auto"/>
              </w:rPr>
            </w:pPr>
            <w:r>
              <w:rPr>
                <w:rFonts w:ascii="Arial" w:cs="Arial" w:eastAsia="Arial" w:hAnsi="Arial"/>
                <w:sz w:val="16"/>
                <w:szCs w:val="16"/>
                <w:color w:val="auto"/>
              </w:rPr>
              <w:t>Accrued interest receivable</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10,281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10,553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Bank-owned life insurance</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gridSpan w:val="5"/>
          </w:tcPr>
          <w:p>
            <w:pPr>
              <w:ind w:left="100"/>
              <w:spacing w:after="0"/>
              <w:rPr>
                <w:sz w:val="20"/>
                <w:szCs w:val="20"/>
                <w:color w:val="auto"/>
              </w:rPr>
            </w:pPr>
            <w:r>
              <w:rPr>
                <w:rFonts w:ascii="Arial" w:cs="Arial" w:eastAsia="Arial" w:hAnsi="Arial"/>
                <w:sz w:val="16"/>
                <w:szCs w:val="16"/>
                <w:color w:val="auto"/>
              </w:rPr>
              <w:t>Intangible assets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Right-of-use assets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2,611</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280" w:type="dxa"/>
            <w:vAlign w:val="bottom"/>
            <w:tcBorders>
              <w:bottom w:val="single" w:sz="8" w:color="CCEEFF"/>
            </w:tcBorders>
            <w:gridSpan w:val="5"/>
          </w:tcPr>
          <w:p>
            <w:pPr>
              <w:ind w:left="10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30,548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29,032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29,833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33,436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32,965</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3,346,600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3,350,910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3,214,363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3,168,092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3,186,432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80" w:type="dxa"/>
            <w:vAlign w:val="bottom"/>
            <w:tcBorders>
              <w:top w:val="single" w:sz="8" w:color="CCEEFF"/>
              <w:bottom w:val="single" w:sz="8" w:color="CCEEFF"/>
            </w:tcBorders>
            <w:gridSpan w:val="5"/>
            <w:vMerge w:val="restart"/>
          </w:tcPr>
          <w:p>
            <w:pPr>
              <w:spacing w:after="0" w:line="176" w:lineRule="exact"/>
              <w:rPr>
                <w:sz w:val="20"/>
                <w:szCs w:val="20"/>
                <w:color w:val="auto"/>
              </w:rPr>
            </w:pPr>
            <w:r>
              <w:rPr>
                <w:rFonts w:ascii="Arial" w:cs="Arial" w:eastAsia="Arial" w:hAnsi="Arial"/>
                <w:sz w:val="16"/>
                <w:szCs w:val="16"/>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4280" w:type="dxa"/>
            <w:vAlign w:val="bottom"/>
            <w:gridSpan w:val="5"/>
            <w:vMerge w:val="continue"/>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Noninterest-bearing deposits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913,868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918,974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897,997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906,540</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280" w:type="dxa"/>
            <w:vAlign w:val="bottom"/>
            <w:tcBorders>
              <w:bottom w:val="single" w:sz="8" w:color="CCEEFF"/>
            </w:tcBorders>
            <w:gridSpan w:val="5"/>
          </w:tcPr>
          <w:p>
            <w:pPr>
              <w:ind w:left="100"/>
              <w:spacing w:after="0"/>
              <w:rPr>
                <w:sz w:val="20"/>
                <w:szCs w:val="20"/>
                <w:color w:val="auto"/>
              </w:rPr>
            </w:pPr>
            <w:r>
              <w:rPr>
                <w:rFonts w:ascii="Arial" w:cs="Arial" w:eastAsia="Arial" w:hAnsi="Arial"/>
                <w:sz w:val="16"/>
                <w:szCs w:val="16"/>
                <w:color w:val="auto"/>
              </w:rPr>
              <w:t>Interest-bearing deposits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2,029,522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2,049,544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1,919,809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1,912,608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1,919,136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Total Deposits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2,945,935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2,963,412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2,838,783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2,810,605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2,825,676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gridSpan w:val="5"/>
          </w:tcPr>
          <w:p>
            <w:pPr>
              <w:ind w:left="100"/>
              <w:spacing w:after="0"/>
              <w:rPr>
                <w:sz w:val="20"/>
                <w:szCs w:val="20"/>
                <w:color w:val="auto"/>
              </w:rPr>
            </w:pPr>
            <w:r>
              <w:rPr>
                <w:rFonts w:ascii="Arial" w:cs="Arial" w:eastAsia="Arial" w:hAnsi="Arial"/>
                <w:sz w:val="16"/>
                <w:szCs w:val="16"/>
                <w:color w:val="auto"/>
              </w:rPr>
              <w:t>Accrued interest payable</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6,463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Lease liabilities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2,739</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280" w:type="dxa"/>
            <w:vAlign w:val="bottom"/>
            <w:tcBorders>
              <w:bottom w:val="single" w:sz="8" w:color="CCEEFF"/>
            </w:tcBorders>
            <w:gridSpan w:val="5"/>
          </w:tcPr>
          <w:p>
            <w:pPr>
              <w:ind w:left="100"/>
              <w:spacing w:after="0"/>
              <w:rPr>
                <w:sz w:val="20"/>
                <w:szCs w:val="20"/>
                <w:color w:val="auto"/>
              </w:rPr>
            </w:pPr>
            <w:r>
              <w:rPr>
                <w:rFonts w:ascii="Arial" w:cs="Arial" w:eastAsia="Arial" w:hAnsi="Arial"/>
                <w:sz w:val="16"/>
                <w:szCs w:val="16"/>
                <w:color w:val="auto"/>
              </w:rPr>
              <w:t>Accrued expenses and other liabilities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13,282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18,238</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28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2,973,274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2,985,760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2,863,052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2,832,742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2,853,116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80" w:type="dxa"/>
            <w:vAlign w:val="bottom"/>
            <w:gridSpan w:val="5"/>
          </w:tcPr>
          <w:p>
            <w:pPr>
              <w:spacing w:after="0" w:line="136" w:lineRule="exact"/>
              <w:rPr>
                <w:sz w:val="20"/>
                <w:szCs w:val="20"/>
                <w:color w:val="auto"/>
              </w:rPr>
            </w:pPr>
            <w:r>
              <w:rPr>
                <w:rFonts w:ascii="Arial" w:cs="Arial" w:eastAsia="Arial" w:hAnsi="Arial"/>
                <w:sz w:val="15"/>
                <w:szCs w:val="15"/>
                <w:color w:val="auto"/>
              </w:rPr>
              <w:t>COMMITMENTS AND CONTINGENCIES</w:t>
            </w:r>
          </w:p>
        </w:tc>
        <w:tc>
          <w:tcPr>
            <w:tcW w:w="220" w:type="dxa"/>
            <w:vAlign w:val="bottom"/>
          </w:tcPr>
          <w:p>
            <w:pPr>
              <w:spacing w:after="0"/>
              <w:rPr>
                <w:sz w:val="13"/>
                <w:szCs w:val="13"/>
                <w:color w:val="auto"/>
              </w:rPr>
            </w:pPr>
          </w:p>
        </w:tc>
        <w:tc>
          <w:tcPr>
            <w:tcW w:w="1060" w:type="dxa"/>
            <w:vAlign w:val="bottom"/>
          </w:tcPr>
          <w:p>
            <w:pPr>
              <w:jc w:val="right"/>
              <w:spacing w:after="0" w:line="14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line="14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w w:val="99"/>
              </w:rPr>
              <w:t>STOCKHOLDERS’ EQUITY</w:t>
            </w:r>
          </w:p>
        </w:tc>
        <w:tc>
          <w:tcPr>
            <w:tcW w:w="2260" w:type="dxa"/>
            <w:vAlign w:val="bottom"/>
            <w:tcBorders>
              <w:bottom w:val="single" w:sz="8" w:color="CCEEFF"/>
            </w:tcBorders>
            <w:gridSpan w:val="2"/>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gridSpan w:val="5"/>
          </w:tcPr>
          <w:p>
            <w:pPr>
              <w:ind w:left="100"/>
              <w:spacing w:after="0"/>
              <w:rPr>
                <w:sz w:val="20"/>
                <w:szCs w:val="20"/>
                <w:color w:val="auto"/>
              </w:rPr>
            </w:pPr>
            <w:r>
              <w:rPr>
                <w:rFonts w:ascii="Arial" w:cs="Arial" w:eastAsia="Arial" w:hAnsi="Arial"/>
                <w:sz w:val="16"/>
                <w:szCs w:val="16"/>
                <w:color w:val="auto"/>
              </w:rPr>
              <w:t>Preferred stock, no par value</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Common stock, no par value</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gridSpan w:val="5"/>
          </w:tcPr>
          <w:p>
            <w:pPr>
              <w:ind w:left="10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2,871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Retained earnings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388,058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377,731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367,302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357,488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348,093</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280" w:type="dxa"/>
            <w:vAlign w:val="bottom"/>
            <w:tcBorders>
              <w:bottom w:val="single" w:sz="8" w:color="CCEEFF"/>
            </w:tcBorders>
            <w:gridSpan w:val="5"/>
          </w:tcPr>
          <w:p>
            <w:pPr>
              <w:ind w:left="100"/>
              <w:spacing w:after="0"/>
              <w:rPr>
                <w:sz w:val="20"/>
                <w:szCs w:val="20"/>
                <w:color w:val="auto"/>
              </w:rPr>
            </w:pPr>
            <w:r>
              <w:rPr>
                <w:rFonts w:ascii="Arial" w:cs="Arial" w:eastAsia="Arial" w:hAnsi="Arial"/>
                <w:sz w:val="16"/>
                <w:szCs w:val="16"/>
                <w:color w:val="auto"/>
              </w:rPr>
              <w:t>Accumulated other comprehensive income (loss)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(45,652)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(43,341)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(46,639)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(58,026)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(56,358)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373,326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365,150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351,311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335,350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333,316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gridSpan w:val="5"/>
          </w:tcPr>
          <w:p>
            <w:pPr>
              <w:ind w:left="340"/>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3,346,600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3,350,910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3,214,363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3,168,092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3,186,432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1421"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RED RIVER BANCSHARES,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 (UNAUDITED)</w:t>
      </w:r>
    </w:p>
    <w:p>
      <w:pPr>
        <w:spacing w:after="0" w:line="241"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auto"/>
        </w:rPr>
        <w:t>For the Three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820" w:type="dxa"/>
            <w:vAlign w:val="bottom"/>
            <w:gridSpan w:val="4"/>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26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ind w:left="100"/>
              <w:spacing w:after="0" w:line="115" w:lineRule="exact"/>
              <w:rPr>
                <w:sz w:val="20"/>
                <w:szCs w:val="20"/>
                <w:color w:val="auto"/>
              </w:rPr>
            </w:pPr>
            <w:r>
              <w:rPr>
                <w:rFonts w:ascii="Arial" w:cs="Arial" w:eastAsia="Arial" w:hAnsi="Arial"/>
                <w:sz w:val="13"/>
                <w:szCs w:val="13"/>
                <w:b w:val="1"/>
                <w:bCs w:val="1"/>
                <w:color w:val="auto"/>
              </w:rPr>
              <w:t>March 31,</w:t>
            </w: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ind w:left="40"/>
              <w:spacing w:after="0" w:line="115" w:lineRule="exact"/>
              <w:rPr>
                <w:sz w:val="20"/>
                <w:szCs w:val="20"/>
                <w:color w:val="auto"/>
              </w:rPr>
            </w:pPr>
            <w:r>
              <w:rPr>
                <w:rFonts w:ascii="Arial" w:cs="Arial" w:eastAsia="Arial" w:hAnsi="Arial"/>
                <w:sz w:val="13"/>
                <w:szCs w:val="13"/>
                <w:b w:val="1"/>
                <w:bCs w:val="1"/>
                <w:color w:val="auto"/>
              </w:rPr>
              <w:t>December 31,</w:t>
            </w: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220"/>
              <w:spacing w:after="0" w:line="115" w:lineRule="exact"/>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4820" w:type="dxa"/>
            <w:vAlign w:val="bottom"/>
            <w:tcBorders>
              <w:bottom w:val="single" w:sz="8" w:color="CCEEFF"/>
            </w:tcBorders>
            <w:gridSpan w:val="4"/>
            <w:vMerge w:val="continue"/>
          </w:tcPr>
          <w:p>
            <w:pPr>
              <w:spacing w:after="0"/>
              <w:rPr>
                <w:sz w:val="16"/>
                <w:szCs w:val="16"/>
                <w:color w:val="auto"/>
              </w:rPr>
            </w:pPr>
          </w:p>
        </w:tc>
        <w:tc>
          <w:tcPr>
            <w:tcW w:w="2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820" w:type="dxa"/>
            <w:vAlign w:val="bottom"/>
            <w:gridSpan w:val="4"/>
            <w:shd w:val="clear" w:color="auto" w:fill="CCEEFF"/>
          </w:tcPr>
          <w:p>
            <w:pPr>
              <w:spacing w:after="0" w:line="170" w:lineRule="exact"/>
              <w:rPr>
                <w:sz w:val="20"/>
                <w:szCs w:val="20"/>
                <w:color w:val="auto"/>
              </w:rPr>
            </w:pPr>
            <w:r>
              <w:rPr>
                <w:rFonts w:ascii="Arial" w:cs="Arial" w:eastAsia="Arial" w:hAnsi="Arial"/>
                <w:sz w:val="16"/>
                <w:szCs w:val="16"/>
                <w:color w:val="auto"/>
              </w:rPr>
              <w:t>INTEREST AND DIVIDEND INCOME</w:t>
            </w:r>
          </w:p>
        </w:tc>
        <w:tc>
          <w:tcPr>
            <w:tcW w:w="2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700" w:type="dxa"/>
            <w:vAlign w:val="bottom"/>
            <w:tcBorders>
              <w:top w:val="single" w:sz="8" w:color="auto"/>
            </w:tcBorders>
            <w:gridSpan w:val="3"/>
          </w:tcPr>
          <w:p>
            <w:pPr>
              <w:ind w:left="120"/>
              <w:spacing w:after="0"/>
              <w:rPr>
                <w:sz w:val="20"/>
                <w:szCs w:val="20"/>
                <w:color w:val="auto"/>
              </w:rPr>
            </w:pPr>
            <w:r>
              <w:rPr>
                <w:rFonts w:ascii="Arial" w:cs="Arial" w:eastAsia="Arial" w:hAnsi="Arial"/>
                <w:sz w:val="16"/>
                <w:szCs w:val="16"/>
                <w:color w:val="auto"/>
              </w:rPr>
              <w:t>Interest and fees on loans</w:t>
            </w:r>
          </w:p>
        </w:tc>
        <w:tc>
          <w:tcPr>
            <w:tcW w:w="212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gridSpan w:val="2"/>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31,545</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31,664</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28,270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2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Interest on securities</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gridSpan w:val="4"/>
          </w:tcPr>
          <w:p>
            <w:pPr>
              <w:ind w:left="120"/>
              <w:spacing w:after="0"/>
              <w:rPr>
                <w:sz w:val="20"/>
                <w:szCs w:val="20"/>
                <w:color w:val="auto"/>
              </w:rPr>
            </w:pPr>
            <w:r>
              <w:rPr>
                <w:rFonts w:ascii="Arial" w:cs="Arial" w:eastAsia="Arial" w:hAnsi="Arial"/>
                <w:sz w:val="16"/>
                <w:szCs w:val="16"/>
                <w:color w:val="auto"/>
              </w:rPr>
              <w:t>Interest on deposits in other banks</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2,661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2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Dividends on stock</w:t>
            </w:r>
          </w:p>
        </w:tc>
        <w:tc>
          <w:tcPr>
            <w:tcW w:w="2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gridSpan w:val="4"/>
          </w:tcPr>
          <w:p>
            <w:pPr>
              <w:ind w:left="240"/>
              <w:spacing w:after="0"/>
              <w:rPr>
                <w:sz w:val="20"/>
                <w:szCs w:val="20"/>
                <w:color w:val="auto"/>
              </w:rPr>
            </w:pPr>
            <w:r>
              <w:rPr>
                <w:rFonts w:ascii="Arial" w:cs="Arial" w:eastAsia="Arial" w:hAnsi="Arial"/>
                <w:sz w:val="16"/>
                <w:szCs w:val="16"/>
                <w:color w:val="auto"/>
              </w:rPr>
              <w:t>Total Interest and Dividend Income</w:t>
            </w:r>
          </w:p>
        </w:tc>
        <w:tc>
          <w:tcPr>
            <w:tcW w:w="2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39,145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39,199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35,808</w:t>
            </w:r>
          </w:p>
        </w:tc>
        <w:tc>
          <w:tcPr>
            <w:tcW w:w="0" w:type="dxa"/>
            <w:vAlign w:val="bottom"/>
          </w:tcPr>
          <w:p>
            <w:pPr>
              <w:spacing w:after="0"/>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6"/>
                <w:szCs w:val="16"/>
                <w:color w:val="auto"/>
              </w:rPr>
              <w:t>INTEREST EXPENSE</w:t>
            </w:r>
          </w:p>
        </w:tc>
        <w:tc>
          <w:tcPr>
            <w:tcW w:w="3200" w:type="dxa"/>
            <w:vAlign w:val="bottom"/>
            <w:tcBorders>
              <w:bottom w:val="single" w:sz="8" w:color="CCEEFF"/>
            </w:tcBorders>
            <w:gridSpan w:val="3"/>
            <w:shd w:val="clear" w:color="auto" w:fill="CCEEFF"/>
          </w:tcPr>
          <w:p>
            <w:pPr>
              <w:spacing w:after="0"/>
              <w:rPr>
                <w:sz w:val="15"/>
                <w:szCs w:val="15"/>
                <w:color w:val="auto"/>
              </w:rPr>
            </w:pPr>
          </w:p>
        </w:tc>
        <w:tc>
          <w:tcPr>
            <w:tcW w:w="26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Interest on deposits</w:t>
            </w:r>
          </w:p>
        </w:tc>
        <w:tc>
          <w:tcPr>
            <w:tcW w:w="2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2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Total Interest Expense</w:t>
            </w:r>
          </w:p>
        </w:tc>
        <w:tc>
          <w:tcPr>
            <w:tcW w:w="2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10,741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4"/>
          </w:tcPr>
          <w:p>
            <w:pPr>
              <w:spacing w:after="0"/>
              <w:rPr>
                <w:sz w:val="20"/>
                <w:szCs w:val="20"/>
                <w:color w:val="auto"/>
              </w:rPr>
            </w:pPr>
            <w:r>
              <w:rPr>
                <w:rFonts w:ascii="Arial" w:cs="Arial" w:eastAsia="Arial" w:hAnsi="Arial"/>
                <w:sz w:val="16"/>
                <w:szCs w:val="16"/>
                <w:b w:val="1"/>
                <w:bCs w:val="1"/>
                <w:color w:val="auto"/>
              </w:rPr>
              <w:t>Net Interest Income</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28,404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28,241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24,610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2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Provision for credit losses</w:t>
            </w:r>
          </w:p>
        </w:tc>
        <w:tc>
          <w:tcPr>
            <w:tcW w:w="2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gridSpan w:val="4"/>
          </w:tcPr>
          <w:p>
            <w:pPr>
              <w:spacing w:after="0"/>
              <w:rPr>
                <w:sz w:val="20"/>
                <w:szCs w:val="20"/>
                <w:color w:val="auto"/>
              </w:rPr>
            </w:pPr>
            <w:r>
              <w:rPr>
                <w:rFonts w:ascii="Arial" w:cs="Arial" w:eastAsia="Arial" w:hAnsi="Arial"/>
                <w:sz w:val="16"/>
                <w:szCs w:val="16"/>
                <w:b w:val="1"/>
                <w:bCs w:val="1"/>
                <w:color w:val="auto"/>
              </w:rPr>
              <w:t>Net Interest Income After Provision for Credit Losses</w:t>
            </w:r>
          </w:p>
        </w:tc>
        <w:tc>
          <w:tcPr>
            <w:tcW w:w="2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27,491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24,160</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6"/>
                <w:szCs w:val="16"/>
                <w:color w:val="auto"/>
              </w:rPr>
              <w:t>NONINTEREST INCOME</w:t>
            </w:r>
          </w:p>
        </w:tc>
        <w:tc>
          <w:tcPr>
            <w:tcW w:w="2960" w:type="dxa"/>
            <w:vAlign w:val="bottom"/>
            <w:tcBorders>
              <w:bottom w:val="single" w:sz="8" w:color="CCEEFF"/>
            </w:tcBorders>
            <w:gridSpan w:val="2"/>
            <w:shd w:val="clear" w:color="auto" w:fill="CCEEFF"/>
          </w:tcPr>
          <w:p>
            <w:pPr>
              <w:spacing w:after="0"/>
              <w:rPr>
                <w:sz w:val="15"/>
                <w:szCs w:val="15"/>
                <w:color w:val="auto"/>
              </w:rPr>
            </w:pPr>
          </w:p>
        </w:tc>
        <w:tc>
          <w:tcPr>
            <w:tcW w:w="26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gridSpan w:val="4"/>
          </w:tcPr>
          <w:p>
            <w:pPr>
              <w:ind w:left="120"/>
              <w:spacing w:after="0"/>
              <w:rPr>
                <w:sz w:val="20"/>
                <w:szCs w:val="20"/>
                <w:color w:val="auto"/>
              </w:rPr>
            </w:pPr>
            <w:r>
              <w:rPr>
                <w:rFonts w:ascii="Arial" w:cs="Arial" w:eastAsia="Arial" w:hAnsi="Arial"/>
                <w:sz w:val="16"/>
                <w:szCs w:val="16"/>
                <w:color w:val="auto"/>
              </w:rPr>
              <w:t>Service charges on deposit accounts</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2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Debit card income, net</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gridSpan w:val="4"/>
          </w:tcPr>
          <w:p>
            <w:pPr>
              <w:ind w:left="120"/>
              <w:spacing w:after="0"/>
              <w:rPr>
                <w:sz w:val="20"/>
                <w:szCs w:val="20"/>
                <w:color w:val="auto"/>
              </w:rPr>
            </w:pPr>
            <w:r>
              <w:rPr>
                <w:rFonts w:ascii="Arial" w:cs="Arial" w:eastAsia="Arial" w:hAnsi="Arial"/>
                <w:sz w:val="16"/>
                <w:szCs w:val="16"/>
                <w:color w:val="auto"/>
              </w:rPr>
              <w:t>Mortgage loan income</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2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Brokerage income</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gridSpan w:val="4"/>
          </w:tcPr>
          <w:p>
            <w:pPr>
              <w:ind w:left="120"/>
              <w:spacing w:after="0"/>
              <w:rPr>
                <w:sz w:val="20"/>
                <w:szCs w:val="20"/>
                <w:color w:val="auto"/>
              </w:rPr>
            </w:pPr>
            <w:r>
              <w:rPr>
                <w:rFonts w:ascii="Arial" w:cs="Arial" w:eastAsia="Arial" w:hAnsi="Arial"/>
                <w:sz w:val="16"/>
                <w:szCs w:val="16"/>
                <w:color w:val="auto"/>
              </w:rPr>
              <w:t>Loan and deposit income</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2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Bank-owned life insurance income</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gridSpan w:val="4"/>
          </w:tcPr>
          <w:p>
            <w:pPr>
              <w:ind w:left="120"/>
              <w:spacing w:after="0"/>
              <w:rPr>
                <w:sz w:val="20"/>
                <w:szCs w:val="20"/>
                <w:color w:val="auto"/>
              </w:rPr>
            </w:pPr>
            <w:r>
              <w:rPr>
                <w:rFonts w:ascii="Arial" w:cs="Arial" w:eastAsia="Arial" w:hAnsi="Arial"/>
                <w:sz w:val="16"/>
                <w:szCs w:val="16"/>
                <w:color w:val="auto"/>
              </w:rPr>
              <w:t>Gain (Loss) on equity securities</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2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SBIC income (loss)</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Other income (loss)</w:t>
            </w:r>
          </w:p>
        </w:tc>
        <w:tc>
          <w:tcPr>
            <w:tcW w:w="2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2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Total Noninterest Income</w:t>
            </w:r>
          </w:p>
        </w:tc>
        <w:tc>
          <w:tcPr>
            <w:tcW w:w="2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20" w:type="dxa"/>
            <w:vAlign w:val="bottom"/>
            <w:gridSpan w:val="4"/>
          </w:tcPr>
          <w:p>
            <w:pPr>
              <w:spacing w:after="0" w:line="155" w:lineRule="exact"/>
              <w:rPr>
                <w:sz w:val="20"/>
                <w:szCs w:val="20"/>
                <w:color w:val="auto"/>
              </w:rPr>
            </w:pPr>
            <w:r>
              <w:rPr>
                <w:rFonts w:ascii="Arial" w:cs="Arial" w:eastAsia="Arial" w:hAnsi="Arial"/>
                <w:sz w:val="16"/>
                <w:szCs w:val="16"/>
                <w:color w:val="auto"/>
              </w:rPr>
              <w:t>OPERATING EXPENSES</w:t>
            </w:r>
          </w:p>
        </w:tc>
        <w:tc>
          <w:tcPr>
            <w:tcW w:w="2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2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Personnel expenses</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gridSpan w:val="4"/>
          </w:tcPr>
          <w:p>
            <w:pPr>
              <w:ind w:left="120"/>
              <w:spacing w:after="0"/>
              <w:rPr>
                <w:sz w:val="20"/>
                <w:szCs w:val="20"/>
                <w:color w:val="auto"/>
              </w:rPr>
            </w:pPr>
            <w:r>
              <w:rPr>
                <w:rFonts w:ascii="Arial" w:cs="Arial" w:eastAsia="Arial" w:hAnsi="Arial"/>
                <w:sz w:val="16"/>
                <w:szCs w:val="16"/>
                <w:color w:val="auto"/>
              </w:rPr>
              <w:t>Occupancy and equipment expenses</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1,794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2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Technology expenses</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gridSpan w:val="4"/>
          </w:tcPr>
          <w:p>
            <w:pPr>
              <w:ind w:left="120"/>
              <w:spacing w:after="0"/>
              <w:rPr>
                <w:sz w:val="20"/>
                <w:szCs w:val="20"/>
                <w:color w:val="auto"/>
              </w:rPr>
            </w:pPr>
            <w:r>
              <w:rPr>
                <w:rFonts w:ascii="Arial" w:cs="Arial" w:eastAsia="Arial" w:hAnsi="Arial"/>
                <w:sz w:val="16"/>
                <w:szCs w:val="16"/>
                <w:color w:val="auto"/>
              </w:rPr>
              <w:t>Advertising</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2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Other business development expenses</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gridSpan w:val="4"/>
          </w:tcPr>
          <w:p>
            <w:pPr>
              <w:ind w:left="120"/>
              <w:spacing w:after="0"/>
              <w:rPr>
                <w:sz w:val="20"/>
                <w:szCs w:val="20"/>
                <w:color w:val="auto"/>
              </w:rPr>
            </w:pPr>
            <w:r>
              <w:rPr>
                <w:rFonts w:ascii="Arial" w:cs="Arial" w:eastAsia="Arial" w:hAnsi="Arial"/>
                <w:sz w:val="16"/>
                <w:szCs w:val="16"/>
                <w:color w:val="auto"/>
              </w:rPr>
              <w:t>Data processing expense</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2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Other taxes</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gridSpan w:val="4"/>
          </w:tcPr>
          <w:p>
            <w:pPr>
              <w:ind w:left="120"/>
              <w:spacing w:after="0"/>
              <w:rPr>
                <w:sz w:val="20"/>
                <w:szCs w:val="20"/>
                <w:color w:val="auto"/>
              </w:rPr>
            </w:pPr>
            <w:r>
              <w:rPr>
                <w:rFonts w:ascii="Arial" w:cs="Arial" w:eastAsia="Arial" w:hAnsi="Arial"/>
                <w:sz w:val="16"/>
                <w:szCs w:val="16"/>
                <w:color w:val="auto"/>
              </w:rPr>
              <w:t>Loan and deposit expenses</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2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Legal and professional expenses</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gridSpan w:val="4"/>
          </w:tcPr>
          <w:p>
            <w:pPr>
              <w:ind w:left="120"/>
              <w:spacing w:after="0"/>
              <w:rPr>
                <w:sz w:val="20"/>
                <w:szCs w:val="20"/>
                <w:color w:val="auto"/>
              </w:rPr>
            </w:pPr>
            <w:r>
              <w:rPr>
                <w:rFonts w:ascii="Arial" w:cs="Arial" w:eastAsia="Arial" w:hAnsi="Arial"/>
                <w:sz w:val="16"/>
                <w:szCs w:val="16"/>
                <w:color w:val="auto"/>
              </w:rPr>
              <w:t>Regulatory assessment expenses</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2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Other operating expenses</w:t>
            </w:r>
          </w:p>
        </w:tc>
        <w:tc>
          <w:tcPr>
            <w:tcW w:w="2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gridSpan w:val="4"/>
          </w:tcPr>
          <w:p>
            <w:pPr>
              <w:ind w:left="240"/>
              <w:spacing w:after="0"/>
              <w:rPr>
                <w:sz w:val="20"/>
                <w:szCs w:val="20"/>
                <w:color w:val="auto"/>
              </w:rPr>
            </w:pPr>
            <w:r>
              <w:rPr>
                <w:rFonts w:ascii="Arial" w:cs="Arial" w:eastAsia="Arial" w:hAnsi="Arial"/>
                <w:sz w:val="16"/>
                <w:szCs w:val="16"/>
                <w:color w:val="auto"/>
              </w:rPr>
              <w:t>Total Operating Expenses</w:t>
            </w:r>
          </w:p>
        </w:tc>
        <w:tc>
          <w:tcPr>
            <w:tcW w:w="2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Income Before Income Tax Expense</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12,844</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Income tax expense</w:t>
            </w:r>
          </w:p>
        </w:tc>
        <w:tc>
          <w:tcPr>
            <w:tcW w:w="2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2,492</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26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bottom w:val="single" w:sz="8" w:color="CCEEFF"/>
            </w:tcBorders>
            <w:vMerge w:val="restart"/>
          </w:tcPr>
          <w:p>
            <w:pPr>
              <w:jc w:val="right"/>
              <w:ind w:right="1759"/>
              <w:spacing w:after="0"/>
              <w:rPr>
                <w:sz w:val="20"/>
                <w:szCs w:val="20"/>
                <w:color w:val="auto"/>
              </w:rPr>
            </w:pPr>
            <w:r>
              <w:rPr>
                <w:rFonts w:ascii="Arial" w:cs="Arial" w:eastAsia="Arial" w:hAnsi="Arial"/>
                <w:sz w:val="16"/>
                <w:szCs w:val="16"/>
                <w:color w:val="auto"/>
              </w:rPr>
              <w:t>8</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8"/>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RED RIVER BANCSHARES,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NET INTEREST INCOME AND NET INTEREST MARGIN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March 31, 2026</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ind w:left="860"/>
              <w:spacing w:after="0"/>
              <w:rPr>
                <w:sz w:val="20"/>
                <w:szCs w:val="20"/>
                <w:color w:val="auto"/>
              </w:rPr>
            </w:pPr>
            <w:r>
              <w:rPr>
                <w:rFonts w:ascii="Arial" w:cs="Arial" w:eastAsia="Arial" w:hAnsi="Arial"/>
                <w:sz w:val="16"/>
                <w:szCs w:val="16"/>
                <w:b w:val="1"/>
                <w:bCs w:val="1"/>
                <w:color w:val="auto"/>
              </w:rPr>
              <w:t>December 31, 2025</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3"/>
                <w:szCs w:val="13"/>
                <w:color w:val="auto"/>
              </w:rPr>
            </w:pPr>
          </w:p>
        </w:tc>
        <w:tc>
          <w:tcPr>
            <w:tcW w:w="8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Interest</w:t>
            </w:r>
          </w:p>
        </w:tc>
        <w:tc>
          <w:tcPr>
            <w:tcW w:w="100" w:type="dxa"/>
            <w:vAlign w:val="bottom"/>
          </w:tcPr>
          <w:p>
            <w:pPr>
              <w:spacing w:after="0"/>
              <w:rPr>
                <w:sz w:val="13"/>
                <w:szCs w:val="13"/>
                <w:color w:val="auto"/>
              </w:rPr>
            </w:pPr>
          </w:p>
        </w:tc>
        <w:tc>
          <w:tcPr>
            <w:tcW w:w="102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8"/>
              </w:rPr>
              <w:t>Average</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3"/>
                <w:szCs w:val="13"/>
                <w:color w:val="auto"/>
              </w:rPr>
            </w:pPr>
          </w:p>
        </w:tc>
        <w:tc>
          <w:tcPr>
            <w:tcW w:w="1040" w:type="dxa"/>
            <w:vAlign w:val="bottom"/>
            <w:gridSpan w:val="3"/>
          </w:tcPr>
          <w:p>
            <w:pPr>
              <w:jc w:val="center"/>
              <w:ind w:right="320"/>
              <w:spacing w:after="0" w:line="155" w:lineRule="exact"/>
              <w:rPr>
                <w:sz w:val="20"/>
                <w:szCs w:val="20"/>
                <w:color w:val="auto"/>
              </w:rPr>
            </w:pPr>
            <w:r>
              <w:rPr>
                <w:rFonts w:ascii="Arial" w:cs="Arial" w:eastAsia="Arial" w:hAnsi="Arial"/>
                <w:sz w:val="16"/>
                <w:szCs w:val="16"/>
                <w:b w:val="1"/>
                <w:bCs w:val="1"/>
                <w:color w:val="auto"/>
              </w:rPr>
              <w:t>Interest</w:t>
            </w:r>
          </w:p>
        </w:tc>
        <w:tc>
          <w:tcPr>
            <w:tcW w:w="92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41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Balance</w:t>
            </w:r>
          </w:p>
        </w:tc>
        <w:tc>
          <w:tcPr>
            <w:tcW w:w="120" w:type="dxa"/>
            <w:vAlign w:val="bottom"/>
          </w:tcPr>
          <w:p>
            <w:pPr>
              <w:spacing w:after="0"/>
              <w:rPr>
                <w:sz w:val="14"/>
                <w:szCs w:val="14"/>
                <w:color w:val="auto"/>
              </w:rPr>
            </w:pPr>
          </w:p>
        </w:tc>
        <w:tc>
          <w:tcPr>
            <w:tcW w:w="8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Income/</w:t>
            </w:r>
          </w:p>
        </w:tc>
        <w:tc>
          <w:tcPr>
            <w:tcW w:w="100" w:type="dxa"/>
            <w:vAlign w:val="bottom"/>
          </w:tcPr>
          <w:p>
            <w:pPr>
              <w:spacing w:after="0"/>
              <w:rPr>
                <w:sz w:val="14"/>
                <w:szCs w:val="14"/>
                <w:color w:val="auto"/>
              </w:rPr>
            </w:pPr>
          </w:p>
        </w:tc>
        <w:tc>
          <w:tcPr>
            <w:tcW w:w="120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8"/>
              </w:rPr>
              <w:t>Yield/</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Balance</w:t>
            </w:r>
          </w:p>
        </w:tc>
        <w:tc>
          <w:tcPr>
            <w:tcW w:w="120" w:type="dxa"/>
            <w:vAlign w:val="bottom"/>
          </w:tcPr>
          <w:p>
            <w:pPr>
              <w:spacing w:after="0"/>
              <w:rPr>
                <w:sz w:val="14"/>
                <w:szCs w:val="14"/>
                <w:color w:val="auto"/>
              </w:rPr>
            </w:pPr>
          </w:p>
        </w:tc>
        <w:tc>
          <w:tcPr>
            <w:tcW w:w="1040" w:type="dxa"/>
            <w:vAlign w:val="bottom"/>
            <w:gridSpan w:val="3"/>
          </w:tcPr>
          <w:p>
            <w:pPr>
              <w:jc w:val="center"/>
              <w:ind w:right="320"/>
              <w:spacing w:after="0" w:line="162" w:lineRule="exact"/>
              <w:rPr>
                <w:sz w:val="20"/>
                <w:szCs w:val="20"/>
                <w:color w:val="auto"/>
              </w:rPr>
            </w:pPr>
            <w:r>
              <w:rPr>
                <w:rFonts w:ascii="Arial" w:cs="Arial" w:eastAsia="Arial" w:hAnsi="Arial"/>
                <w:sz w:val="16"/>
                <w:szCs w:val="16"/>
                <w:b w:val="1"/>
                <w:bCs w:val="1"/>
                <w:color w:val="auto"/>
                <w:w w:val="99"/>
              </w:rPr>
              <w:t>Income/</w:t>
            </w:r>
          </w:p>
        </w:tc>
        <w:tc>
          <w:tcPr>
            <w:tcW w:w="92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8"/>
              </w:rPr>
              <w:t>Yield/</w:t>
            </w:r>
          </w:p>
        </w:tc>
        <w:tc>
          <w:tcPr>
            <w:tcW w:w="0" w:type="dxa"/>
            <w:vAlign w:val="bottom"/>
          </w:tcPr>
          <w:p>
            <w:pPr>
              <w:spacing w:after="0"/>
              <w:rPr>
                <w:sz w:val="1"/>
                <w:szCs w:val="1"/>
                <w:color w:val="auto"/>
              </w:rPr>
            </w:pPr>
          </w:p>
        </w:tc>
      </w:tr>
      <w:tr>
        <w:trPr>
          <w:trHeight w:val="216"/>
        </w:trPr>
        <w:tc>
          <w:tcPr>
            <w:tcW w:w="4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8"/>
                <w:szCs w:val="18"/>
                <w:color w:val="auto"/>
              </w:rPr>
            </w:pPr>
          </w:p>
        </w:tc>
        <w:tc>
          <w:tcPr>
            <w:tcW w:w="840" w:type="dxa"/>
            <w:vAlign w:val="bottom"/>
          </w:tcPr>
          <w:p>
            <w:pPr>
              <w:jc w:val="center"/>
              <w:ind w:right="59"/>
              <w:spacing w:after="0"/>
              <w:rPr>
                <w:sz w:val="20"/>
                <w:szCs w:val="20"/>
                <w:color w:val="auto"/>
              </w:rPr>
            </w:pPr>
            <w:r>
              <w:rPr>
                <w:rFonts w:ascii="Arial" w:cs="Arial" w:eastAsia="Arial" w:hAnsi="Arial"/>
                <w:sz w:val="16"/>
                <w:szCs w:val="16"/>
                <w:b w:val="1"/>
                <w:bCs w:val="1"/>
                <w:color w:val="auto"/>
              </w:rPr>
              <w:t>Expense</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Rate</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8"/>
                <w:szCs w:val="18"/>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Expense</w:t>
            </w: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Rate</w:t>
            </w:r>
          </w:p>
        </w:tc>
        <w:tc>
          <w:tcPr>
            <w:tcW w:w="0" w:type="dxa"/>
            <w:vAlign w:val="bottom"/>
          </w:tcPr>
          <w:p>
            <w:pPr>
              <w:spacing w:after="0"/>
              <w:rPr>
                <w:sz w:val="1"/>
                <w:szCs w:val="1"/>
                <w:color w:val="auto"/>
              </w:rPr>
            </w:pPr>
          </w:p>
        </w:tc>
      </w:tr>
      <w:tr>
        <w:trPr>
          <w:trHeight w:val="196"/>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40" w:type="dxa"/>
            <w:vAlign w:val="bottom"/>
          </w:tcPr>
          <w:p>
            <w:pPr>
              <w:ind w:left="20"/>
              <w:spacing w:after="0"/>
              <w:rPr>
                <w:sz w:val="20"/>
                <w:szCs w:val="20"/>
                <w:color w:val="auto"/>
              </w:rPr>
            </w:pPr>
            <w:r>
              <w:rPr>
                <w:rFonts w:ascii="Arial" w:cs="Arial" w:eastAsia="Arial" w:hAnsi="Arial"/>
                <w:sz w:val="16"/>
                <w:szCs w:val="16"/>
                <w:color w:val="auto"/>
              </w:rPr>
              <w:t>Interest-earning assets: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180"/>
              <w:spacing w:after="0" w:line="217" w:lineRule="exact"/>
              <w:rPr>
                <w:sz w:val="20"/>
                <w:szCs w:val="20"/>
                <w:color w:val="auto"/>
              </w:rPr>
            </w:pPr>
            <w:r>
              <w:rPr>
                <w:rFonts w:ascii="Arial" w:cs="Arial" w:eastAsia="Arial" w:hAnsi="Arial"/>
                <w:sz w:val="16"/>
                <w:szCs w:val="16"/>
                <w:color w:val="auto"/>
              </w:rPr>
              <w:t>Loans</w:t>
            </w:r>
            <w:r>
              <w:rPr>
                <w:rFonts w:ascii="Arial" w:cs="Arial" w:eastAsia="Arial" w:hAnsi="Arial"/>
                <w:sz w:val="21"/>
                <w:szCs w:val="21"/>
                <w:color w:val="auto"/>
                <w:vertAlign w:val="superscript"/>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2,255,394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31,545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2,214,161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15"/>
        </w:trPr>
        <w:tc>
          <w:tcPr>
            <w:tcW w:w="4140" w:type="dxa"/>
            <w:vAlign w:val="bottom"/>
          </w:tcPr>
          <w:p>
            <w:pPr>
              <w:ind w:left="180"/>
              <w:spacing w:after="0"/>
              <w:rPr>
                <w:sz w:val="20"/>
                <w:szCs w:val="20"/>
                <w:color w:val="auto"/>
              </w:rPr>
            </w:pPr>
            <w:r>
              <w:rPr>
                <w:rFonts w:ascii="Arial" w:cs="Arial" w:eastAsia="Arial" w:hAnsi="Arial"/>
                <w:sz w:val="16"/>
                <w:szCs w:val="16"/>
                <w:color w:val="auto"/>
              </w:rPr>
              <w:t>Securities - taxable</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629,550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4,872</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625,220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 tax-exempt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15"/>
        </w:trPr>
        <w:tc>
          <w:tcPr>
            <w:tcW w:w="4140" w:type="dxa"/>
            <w:vAlign w:val="bottom"/>
          </w:tcPr>
          <w:p>
            <w:pPr>
              <w:ind w:left="180"/>
              <w:spacing w:after="0"/>
              <w:rPr>
                <w:sz w:val="20"/>
                <w:szCs w:val="20"/>
                <w:color w:val="auto"/>
              </w:rPr>
            </w:pPr>
            <w:r>
              <w:rPr>
                <w:rFonts w:ascii="Arial" w:cs="Arial" w:eastAsia="Arial" w:hAnsi="Arial"/>
                <w:sz w:val="16"/>
                <w:szCs w:val="16"/>
                <w:color w:val="auto"/>
              </w:rPr>
              <w:t>Interest-bearing deposits in other banks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191,843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1,737</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166,797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Nonmarketable equity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09"/>
        </w:trPr>
        <w:tc>
          <w:tcPr>
            <w:tcW w:w="41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interest-earning assets</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3,262,192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39,145</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4.80%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3,192,478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39,199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197"/>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credit losses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Noninterest-earning assets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127,068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120,146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3,365,613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3,289,587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Interest-bearing 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tcPr>
          <w:p>
            <w:pPr>
              <w:ind w:left="180"/>
              <w:spacing w:after="0"/>
              <w:rPr>
                <w:sz w:val="20"/>
                <w:szCs w:val="20"/>
                <w:color w:val="auto"/>
              </w:rPr>
            </w:pPr>
            <w:r>
              <w:rPr>
                <w:rFonts w:ascii="Arial" w:cs="Arial" w:eastAsia="Arial" w:hAnsi="Arial"/>
                <w:sz w:val="16"/>
                <w:szCs w:val="16"/>
                <w:color w:val="auto"/>
              </w:rPr>
              <w:t>Interest-bearing transaction deposits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1,440,118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5,558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1.57%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1,348,461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5,527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Time deposits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607,964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608,448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09"/>
        </w:trPr>
        <w:tc>
          <w:tcPr>
            <w:tcW w:w="4140" w:type="dxa"/>
            <w:vAlign w:val="bottom"/>
          </w:tcPr>
          <w:p>
            <w:pPr>
              <w:ind w:left="300"/>
              <w:spacing w:after="0"/>
              <w:rPr>
                <w:sz w:val="20"/>
                <w:szCs w:val="20"/>
                <w:color w:val="auto"/>
              </w:rPr>
            </w:pPr>
            <w:r>
              <w:rPr>
                <w:rFonts w:ascii="Arial" w:cs="Arial" w:eastAsia="Arial" w:hAnsi="Arial"/>
                <w:sz w:val="16"/>
                <w:szCs w:val="16"/>
                <w:color w:val="auto"/>
              </w:rPr>
              <w:t>Total interest-bearing deposits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2,048,082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10,741</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1,956,909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10,958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borrowings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1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interest-bearing liabilities</w:t>
            </w:r>
          </w:p>
        </w:tc>
        <w:tc>
          <w:tcPr>
            <w:tcW w:w="140" w:type="dxa"/>
            <w:vAlign w:val="bottom"/>
            <w:tcBorders>
              <w:top w:val="single" w:sz="8" w:color="auto"/>
              <w:bottom w:val="single" w:sz="8" w:color="CCEEFF"/>
            </w:tcBorders>
          </w:tcPr>
          <w:p>
            <w:pPr>
              <w:spacing w:after="0"/>
              <w:rPr>
                <w:sz w:val="18"/>
                <w:szCs w:val="18"/>
                <w:color w:val="auto"/>
              </w:rPr>
            </w:pPr>
          </w:p>
        </w:tc>
        <w:tc>
          <w:tcPr>
            <w:tcW w:w="11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6"/>
                <w:szCs w:val="16"/>
                <w:color w:val="auto"/>
              </w:rPr>
              <w:t>2,048,082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10,741</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2.13%</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6"/>
                <w:szCs w:val="16"/>
                <w:color w:val="auto"/>
              </w:rPr>
              <w:t>1,956,909</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10,958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197"/>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Noninterest-bearing liabilities: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40" w:type="dxa"/>
            <w:vAlign w:val="bottom"/>
          </w:tcPr>
          <w:p>
            <w:pPr>
              <w:ind w:left="180"/>
              <w:spacing w:after="0"/>
              <w:rPr>
                <w:sz w:val="20"/>
                <w:szCs w:val="20"/>
                <w:color w:val="auto"/>
              </w:rPr>
            </w:pPr>
            <w:r>
              <w:rPr>
                <w:rFonts w:ascii="Arial" w:cs="Arial" w:eastAsia="Arial" w:hAnsi="Arial"/>
                <w:sz w:val="16"/>
                <w:szCs w:val="16"/>
                <w:color w:val="auto"/>
              </w:rPr>
              <w:t>Noninterest-bearing deposits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917,623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947,506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interest and 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ind w:left="300"/>
              <w:spacing w:after="0"/>
              <w:rPr>
                <w:sz w:val="20"/>
                <w:szCs w:val="20"/>
                <w:color w:val="auto"/>
              </w:rPr>
            </w:pPr>
            <w:r>
              <w:rPr>
                <w:rFonts w:ascii="Arial" w:cs="Arial" w:eastAsia="Arial" w:hAnsi="Arial"/>
                <w:sz w:val="16"/>
                <w:szCs w:val="16"/>
                <w:color w:val="auto"/>
              </w:rPr>
              <w:t>Total noninterest-bearing liabilities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942,609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973,276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374,922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359,402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30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3,365,613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3,289,587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interest income</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28,404</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28,241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interest spread</w:t>
            </w: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2.67%</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line="20" w:lineRule="exact"/>
              <w:rPr>
                <w:sz w:val="1"/>
                <w:szCs w:val="1"/>
                <w:color w:val="auto"/>
              </w:rPr>
            </w:pPr>
          </w:p>
        </w:tc>
      </w:tr>
      <w:tr>
        <w:trPr>
          <w:trHeight w:val="162"/>
        </w:trPr>
        <w:tc>
          <w:tcPr>
            <w:tcW w:w="4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margin</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line="216" w:lineRule="exact"/>
              <w:rPr>
                <w:sz w:val="20"/>
                <w:szCs w:val="20"/>
                <w:color w:val="auto"/>
              </w:rPr>
            </w:pPr>
            <w:r>
              <w:rPr>
                <w:rFonts w:ascii="Arial" w:cs="Arial" w:eastAsia="Arial" w:hAnsi="Arial"/>
                <w:sz w:val="16"/>
                <w:szCs w:val="16"/>
                <w:color w:val="auto"/>
              </w:rPr>
              <w:t>Net interest margin FTE</w:t>
            </w:r>
            <w:r>
              <w:rPr>
                <w:rFonts w:ascii="Arial" w:cs="Arial" w:eastAsia="Arial" w:hAnsi="Arial"/>
                <w:sz w:val="21"/>
                <w:szCs w:val="21"/>
                <w:color w:val="auto"/>
                <w:vertAlign w:val="superscript"/>
              </w:rPr>
              <w:t>(3)</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deposits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5"/>
        </w:trPr>
        <w:tc>
          <w:tcPr>
            <w:tcW w:w="4140" w:type="dxa"/>
            <w:vAlign w:val="bottom"/>
          </w:tcPr>
          <w:p>
            <w:pPr>
              <w:ind w:left="20"/>
              <w:spacing w:after="0"/>
              <w:rPr>
                <w:sz w:val="20"/>
                <w:szCs w:val="20"/>
                <w:color w:val="auto"/>
              </w:rPr>
            </w:pPr>
            <w:r>
              <w:rPr>
                <w:rFonts w:ascii="Arial" w:cs="Arial" w:eastAsia="Arial" w:hAnsi="Arial"/>
                <w:sz w:val="16"/>
                <w:szCs w:val="16"/>
                <w:color w:val="auto"/>
              </w:rPr>
              <w:t>Cost of funds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Includes average outstanding balances of loans held for sale of $2.7 million and $3.3 million for the three months ended March 31, 2026 and December 31, 2025, respectively.</w:t>
      </w:r>
    </w:p>
    <w:p>
      <w:pPr>
        <w:spacing w:after="0" w:line="8" w:lineRule="exact"/>
        <w:rPr>
          <w:rFonts w:ascii="Arial" w:cs="Arial" w:eastAsia="Arial" w:hAnsi="Arial"/>
          <w:sz w:val="16"/>
          <w:szCs w:val="16"/>
          <w:color w:val="auto"/>
          <w:vertAlign w:val="superscript"/>
        </w:rPr>
      </w:pPr>
    </w:p>
    <w:p>
      <w:pPr>
        <w:ind w:left="160" w:hanging="152"/>
        <w:spacing w:after="0" w:line="193" w:lineRule="auto"/>
        <w:tabs>
          <w:tab w:leader="none" w:pos="16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Nonaccrual loans are included as loans carrying a zero yield.</w:t>
      </w:r>
    </w:p>
    <w:p>
      <w:pPr>
        <w:ind w:left="160" w:hanging="152"/>
        <w:spacing w:after="0" w:line="200" w:lineRule="auto"/>
        <w:tabs>
          <w:tab w:leader="none" w:pos="16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Net interest margin FTE includes an FTE adjustment using a 21.0% federal income tax rate on tax-exempt securities and tax-exempt loans.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4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RED RIVER BANCSHARES,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NET INTEREST INCOME AND NET INTEREST MARGIN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March 31, 2026</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March 31, 2025</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8"/>
              </w:rPr>
              <w:t>Average</w:t>
            </w:r>
          </w:p>
        </w:tc>
        <w:tc>
          <w:tcPr>
            <w:tcW w:w="140" w:type="dxa"/>
            <w:vAlign w:val="bottom"/>
          </w:tcPr>
          <w:p>
            <w:pPr>
              <w:spacing w:after="0"/>
              <w:rPr>
                <w:sz w:val="13"/>
                <w:szCs w:val="13"/>
                <w:color w:val="auto"/>
              </w:rPr>
            </w:pPr>
          </w:p>
        </w:tc>
        <w:tc>
          <w:tcPr>
            <w:tcW w:w="82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Interest</w:t>
            </w:r>
          </w:p>
        </w:tc>
        <w:tc>
          <w:tcPr>
            <w:tcW w:w="12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8"/>
              </w:rPr>
              <w:t>Average</w:t>
            </w:r>
          </w:p>
        </w:tc>
        <w:tc>
          <w:tcPr>
            <w:tcW w:w="120" w:type="dxa"/>
            <w:vAlign w:val="bottom"/>
          </w:tcPr>
          <w:p>
            <w:pPr>
              <w:spacing w:after="0"/>
              <w:rPr>
                <w:sz w:val="13"/>
                <w:szCs w:val="13"/>
                <w:color w:val="auto"/>
              </w:rPr>
            </w:pPr>
          </w:p>
        </w:tc>
        <w:tc>
          <w:tcPr>
            <w:tcW w:w="82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Interest</w:t>
            </w:r>
          </w:p>
        </w:tc>
        <w:tc>
          <w:tcPr>
            <w:tcW w:w="1120" w:type="dxa"/>
            <w:vAlign w:val="bottom"/>
          </w:tcPr>
          <w:p>
            <w:pPr>
              <w:jc w:val="center"/>
              <w:ind w:left="39"/>
              <w:spacing w:after="0" w:line="155"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41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Balance</w:t>
            </w:r>
          </w:p>
        </w:tc>
        <w:tc>
          <w:tcPr>
            <w:tcW w:w="140" w:type="dxa"/>
            <w:vAlign w:val="bottom"/>
          </w:tcPr>
          <w:p>
            <w:pPr>
              <w:spacing w:after="0"/>
              <w:rPr>
                <w:sz w:val="14"/>
                <w:szCs w:val="14"/>
                <w:color w:val="auto"/>
              </w:rPr>
            </w:pPr>
          </w:p>
        </w:tc>
        <w:tc>
          <w:tcPr>
            <w:tcW w:w="82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Income/</w:t>
            </w:r>
          </w:p>
        </w:tc>
        <w:tc>
          <w:tcPr>
            <w:tcW w:w="120" w:type="dxa"/>
            <w:vAlign w:val="bottom"/>
          </w:tcPr>
          <w:p>
            <w:pPr>
              <w:spacing w:after="0"/>
              <w:rPr>
                <w:sz w:val="14"/>
                <w:szCs w:val="14"/>
                <w:color w:val="auto"/>
              </w:rPr>
            </w:pPr>
          </w:p>
        </w:tc>
        <w:tc>
          <w:tcPr>
            <w:tcW w:w="12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rPr>
              <w:t>Yield/</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Balance</w:t>
            </w:r>
          </w:p>
        </w:tc>
        <w:tc>
          <w:tcPr>
            <w:tcW w:w="120" w:type="dxa"/>
            <w:vAlign w:val="bottom"/>
          </w:tcPr>
          <w:p>
            <w:pPr>
              <w:spacing w:after="0"/>
              <w:rPr>
                <w:sz w:val="14"/>
                <w:szCs w:val="14"/>
                <w:color w:val="auto"/>
              </w:rPr>
            </w:pPr>
          </w:p>
        </w:tc>
        <w:tc>
          <w:tcPr>
            <w:tcW w:w="82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Income/</w:t>
            </w:r>
          </w:p>
        </w:tc>
        <w:tc>
          <w:tcPr>
            <w:tcW w:w="1120" w:type="dxa"/>
            <w:vAlign w:val="bottom"/>
          </w:tcPr>
          <w:p>
            <w:pPr>
              <w:jc w:val="center"/>
              <w:ind w:left="19"/>
              <w:spacing w:after="0" w:line="162" w:lineRule="exact"/>
              <w:rPr>
                <w:sz w:val="20"/>
                <w:szCs w:val="20"/>
                <w:color w:val="auto"/>
              </w:rPr>
            </w:pPr>
            <w:r>
              <w:rPr>
                <w:rFonts w:ascii="Arial" w:cs="Arial" w:eastAsia="Arial" w:hAnsi="Arial"/>
                <w:sz w:val="16"/>
                <w:szCs w:val="16"/>
                <w:b w:val="1"/>
                <w:bCs w:val="1"/>
                <w:color w:val="auto"/>
                <w:w w:val="98"/>
              </w:rPr>
              <w:t>Yield/</w:t>
            </w:r>
          </w:p>
        </w:tc>
        <w:tc>
          <w:tcPr>
            <w:tcW w:w="0" w:type="dxa"/>
            <w:vAlign w:val="bottom"/>
          </w:tcPr>
          <w:p>
            <w:pPr>
              <w:spacing w:after="0"/>
              <w:rPr>
                <w:sz w:val="1"/>
                <w:szCs w:val="1"/>
                <w:color w:val="auto"/>
              </w:rPr>
            </w:pPr>
          </w:p>
        </w:tc>
      </w:tr>
      <w:tr>
        <w:trPr>
          <w:trHeight w:val="216"/>
        </w:trPr>
        <w:tc>
          <w:tcPr>
            <w:tcW w:w="4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Outstanding</w:t>
            </w:r>
          </w:p>
        </w:tc>
        <w:tc>
          <w:tcPr>
            <w:tcW w:w="140" w:type="dxa"/>
            <w:vAlign w:val="bottom"/>
          </w:tcPr>
          <w:p>
            <w:pPr>
              <w:spacing w:after="0"/>
              <w:rPr>
                <w:sz w:val="18"/>
                <w:szCs w:val="18"/>
                <w:color w:val="auto"/>
              </w:rPr>
            </w:pPr>
          </w:p>
        </w:tc>
        <w:tc>
          <w:tcPr>
            <w:tcW w:w="820" w:type="dxa"/>
            <w:vAlign w:val="bottom"/>
          </w:tcPr>
          <w:p>
            <w:pPr>
              <w:jc w:val="center"/>
              <w:ind w:right="39"/>
              <w:spacing w:after="0"/>
              <w:rPr>
                <w:sz w:val="20"/>
                <w:szCs w:val="20"/>
                <w:color w:val="auto"/>
              </w:rPr>
            </w:pPr>
            <w:r>
              <w:rPr>
                <w:rFonts w:ascii="Arial" w:cs="Arial" w:eastAsia="Arial" w:hAnsi="Arial"/>
                <w:sz w:val="16"/>
                <w:szCs w:val="16"/>
                <w:b w:val="1"/>
                <w:bCs w:val="1"/>
                <w:color w:val="auto"/>
              </w:rPr>
              <w:t>Expense</w:t>
            </w:r>
          </w:p>
        </w:tc>
        <w:tc>
          <w:tcPr>
            <w:tcW w:w="1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Rate</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Outstanding</w:t>
            </w:r>
          </w:p>
        </w:tc>
        <w:tc>
          <w:tcPr>
            <w:tcW w:w="120" w:type="dxa"/>
            <w:vAlign w:val="bottom"/>
          </w:tcPr>
          <w:p>
            <w:pPr>
              <w:spacing w:after="0"/>
              <w:rPr>
                <w:sz w:val="18"/>
                <w:szCs w:val="18"/>
                <w:color w:val="auto"/>
              </w:rPr>
            </w:pPr>
          </w:p>
        </w:tc>
        <w:tc>
          <w:tcPr>
            <w:tcW w:w="820" w:type="dxa"/>
            <w:vAlign w:val="bottom"/>
          </w:tcPr>
          <w:p>
            <w:pPr>
              <w:jc w:val="center"/>
              <w:ind w:right="39"/>
              <w:spacing w:after="0"/>
              <w:rPr>
                <w:sz w:val="20"/>
                <w:szCs w:val="20"/>
                <w:color w:val="auto"/>
              </w:rPr>
            </w:pPr>
            <w:r>
              <w:rPr>
                <w:rFonts w:ascii="Arial" w:cs="Arial" w:eastAsia="Arial" w:hAnsi="Arial"/>
                <w:sz w:val="16"/>
                <w:szCs w:val="16"/>
                <w:b w:val="1"/>
                <w:bCs w:val="1"/>
                <w:color w:val="auto"/>
              </w:rPr>
              <w:t>Expense</w:t>
            </w:r>
          </w:p>
        </w:tc>
        <w:tc>
          <w:tcPr>
            <w:tcW w:w="1120" w:type="dxa"/>
            <w:vAlign w:val="bottom"/>
          </w:tcPr>
          <w:p>
            <w:pPr>
              <w:jc w:val="center"/>
              <w:ind w:left="19"/>
              <w:spacing w:after="0"/>
              <w:rPr>
                <w:sz w:val="20"/>
                <w:szCs w:val="20"/>
                <w:color w:val="auto"/>
              </w:rPr>
            </w:pPr>
            <w:r>
              <w:rPr>
                <w:rFonts w:ascii="Arial" w:cs="Arial" w:eastAsia="Arial" w:hAnsi="Arial"/>
                <w:sz w:val="16"/>
                <w:szCs w:val="16"/>
                <w:b w:val="1"/>
                <w:bCs w:val="1"/>
                <w:color w:val="auto"/>
                <w:w w:val="97"/>
              </w:rPr>
              <w:t>Rate</w:t>
            </w:r>
          </w:p>
        </w:tc>
        <w:tc>
          <w:tcPr>
            <w:tcW w:w="0" w:type="dxa"/>
            <w:vAlign w:val="bottom"/>
          </w:tcPr>
          <w:p>
            <w:pPr>
              <w:spacing w:after="0"/>
              <w:rPr>
                <w:sz w:val="1"/>
                <w:szCs w:val="1"/>
                <w:color w:val="auto"/>
              </w:rPr>
            </w:pPr>
          </w:p>
        </w:tc>
      </w:tr>
      <w:tr>
        <w:trPr>
          <w:trHeight w:val="196"/>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60" w:type="dxa"/>
            <w:vAlign w:val="bottom"/>
          </w:tcPr>
          <w:p>
            <w:pPr>
              <w:ind w:left="20"/>
              <w:spacing w:after="0"/>
              <w:rPr>
                <w:sz w:val="20"/>
                <w:szCs w:val="20"/>
                <w:color w:val="auto"/>
              </w:rPr>
            </w:pPr>
            <w:r>
              <w:rPr>
                <w:rFonts w:ascii="Arial" w:cs="Arial" w:eastAsia="Arial" w:hAnsi="Arial"/>
                <w:sz w:val="16"/>
                <w:szCs w:val="16"/>
                <w:color w:val="auto"/>
              </w:rPr>
              <w:t>Interest-earning assets: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ind w:left="180"/>
              <w:spacing w:after="0" w:line="217" w:lineRule="exact"/>
              <w:rPr>
                <w:sz w:val="20"/>
                <w:szCs w:val="20"/>
                <w:color w:val="auto"/>
              </w:rPr>
            </w:pPr>
            <w:r>
              <w:rPr>
                <w:rFonts w:ascii="Arial" w:cs="Arial" w:eastAsia="Arial" w:hAnsi="Arial"/>
                <w:sz w:val="16"/>
                <w:szCs w:val="16"/>
                <w:color w:val="auto"/>
              </w:rPr>
              <w:t>Loans</w:t>
            </w:r>
            <w:r>
              <w:rPr>
                <w:rFonts w:ascii="Arial" w:cs="Arial" w:eastAsia="Arial" w:hAnsi="Arial"/>
                <w:sz w:val="21"/>
                <w:szCs w:val="21"/>
                <w:color w:val="auto"/>
                <w:vertAlign w:val="superscript"/>
              </w:rPr>
              <w:t>(1,2)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2,255,394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31,545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2,089,712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28,270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15"/>
        </w:trPr>
        <w:tc>
          <w:tcPr>
            <w:tcW w:w="4160" w:type="dxa"/>
            <w:vAlign w:val="bottom"/>
          </w:tcPr>
          <w:p>
            <w:pPr>
              <w:ind w:left="180"/>
              <w:spacing w:after="0"/>
              <w:rPr>
                <w:sz w:val="20"/>
                <w:szCs w:val="20"/>
                <w:color w:val="auto"/>
              </w:rPr>
            </w:pPr>
            <w:r>
              <w:rPr>
                <w:rFonts w:ascii="Arial" w:cs="Arial" w:eastAsia="Arial" w:hAnsi="Arial"/>
                <w:sz w:val="16"/>
                <w:szCs w:val="16"/>
                <w:color w:val="auto"/>
              </w:rPr>
              <w:t>Securities - taxable</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629,550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4,872</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559,752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3,871</w:t>
            </w:r>
          </w:p>
        </w:tc>
        <w:tc>
          <w:tcPr>
            <w:tcW w:w="1120" w:type="dxa"/>
            <w:vAlign w:val="bottom"/>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 tax-exempt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5"/>
        </w:trPr>
        <w:tc>
          <w:tcPr>
            <w:tcW w:w="4160" w:type="dxa"/>
            <w:vAlign w:val="bottom"/>
          </w:tcPr>
          <w:p>
            <w:pPr>
              <w:ind w:left="180"/>
              <w:spacing w:after="0"/>
              <w:rPr>
                <w:sz w:val="20"/>
                <w:szCs w:val="20"/>
                <w:color w:val="auto"/>
              </w:rPr>
            </w:pPr>
            <w:r>
              <w:rPr>
                <w:rFonts w:ascii="Arial" w:cs="Arial" w:eastAsia="Arial" w:hAnsi="Arial"/>
                <w:sz w:val="16"/>
                <w:szCs w:val="16"/>
                <w:color w:val="auto"/>
              </w:rPr>
              <w:t>Interest-bearing deposits in other banks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191,843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1,737</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243,751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2,661</w:t>
            </w:r>
          </w:p>
        </w:tc>
        <w:tc>
          <w:tcPr>
            <w:tcW w:w="1120" w:type="dxa"/>
            <w:vAlign w:val="bottom"/>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Nonmarketable equity securities</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09"/>
        </w:trPr>
        <w:tc>
          <w:tcPr>
            <w:tcW w:w="41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interest-earning assets</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3,262,192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39,145</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4.80%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3,085,274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35,808</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197"/>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credit losses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(21,789)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Noninterest-earning assets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127,068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107,295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3,365,613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3,170,780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Interest-bearing liabilities: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tcPr>
          <w:p>
            <w:pPr>
              <w:ind w:left="180"/>
              <w:spacing w:after="0"/>
              <w:rPr>
                <w:sz w:val="20"/>
                <w:szCs w:val="20"/>
                <w:color w:val="auto"/>
              </w:rPr>
            </w:pPr>
            <w:r>
              <w:rPr>
                <w:rFonts w:ascii="Arial" w:cs="Arial" w:eastAsia="Arial" w:hAnsi="Arial"/>
                <w:sz w:val="16"/>
                <w:szCs w:val="16"/>
                <w:color w:val="auto"/>
              </w:rPr>
              <w:t>Interest-bearing transaction deposits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1,440,118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5,558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1.57%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1,341,885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5,641</w:t>
            </w:r>
          </w:p>
        </w:tc>
        <w:tc>
          <w:tcPr>
            <w:tcW w:w="112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Time deposits</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607,964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592,368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5,557</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09"/>
        </w:trPr>
        <w:tc>
          <w:tcPr>
            <w:tcW w:w="4160" w:type="dxa"/>
            <w:vAlign w:val="bottom"/>
          </w:tcPr>
          <w:p>
            <w:pPr>
              <w:ind w:left="300"/>
              <w:spacing w:after="0"/>
              <w:rPr>
                <w:sz w:val="20"/>
                <w:szCs w:val="20"/>
                <w:color w:val="auto"/>
              </w:rPr>
            </w:pPr>
            <w:r>
              <w:rPr>
                <w:rFonts w:ascii="Arial" w:cs="Arial" w:eastAsia="Arial" w:hAnsi="Arial"/>
                <w:sz w:val="16"/>
                <w:szCs w:val="16"/>
                <w:color w:val="auto"/>
              </w:rPr>
              <w:t>Total interest-bearing deposits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2,048,082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10,741</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1,934,253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11,198</w:t>
            </w:r>
          </w:p>
        </w:tc>
        <w:tc>
          <w:tcPr>
            <w:tcW w:w="1120" w:type="dxa"/>
            <w:vAlign w:val="bottom"/>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borrowings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1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interest-bearing liabilities</w:t>
            </w:r>
          </w:p>
        </w:tc>
        <w:tc>
          <w:tcPr>
            <w:tcW w:w="12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6"/>
                <w:szCs w:val="16"/>
                <w:color w:val="auto"/>
              </w:rPr>
              <w:t>2,048,082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10,741</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2.13%</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1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6"/>
                <w:szCs w:val="16"/>
                <w:color w:val="auto"/>
              </w:rPr>
              <w:t>1,934,253</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11,198</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197"/>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Noninterest-bearing liabilities: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60" w:type="dxa"/>
            <w:vAlign w:val="bottom"/>
          </w:tcPr>
          <w:p>
            <w:pPr>
              <w:ind w:left="180"/>
              <w:spacing w:after="0"/>
              <w:rPr>
                <w:sz w:val="20"/>
                <w:szCs w:val="20"/>
                <w:color w:val="auto"/>
              </w:rPr>
            </w:pPr>
            <w:r>
              <w:rPr>
                <w:rFonts w:ascii="Arial" w:cs="Arial" w:eastAsia="Arial" w:hAnsi="Arial"/>
                <w:sz w:val="16"/>
                <w:szCs w:val="16"/>
                <w:color w:val="auto"/>
              </w:rPr>
              <w:t>Noninterest-bearing deposits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917,623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884,484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interest and 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300"/>
              <w:spacing w:after="0"/>
              <w:rPr>
                <w:sz w:val="20"/>
                <w:szCs w:val="20"/>
                <w:color w:val="auto"/>
              </w:rPr>
            </w:pPr>
            <w:r>
              <w:rPr>
                <w:rFonts w:ascii="Arial" w:cs="Arial" w:eastAsia="Arial" w:hAnsi="Arial"/>
                <w:sz w:val="16"/>
                <w:szCs w:val="16"/>
                <w:color w:val="auto"/>
              </w:rPr>
              <w:t>Total noninterest-bearing liabilities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942,609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909,820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374,922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326,707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300"/>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3,365,613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3,170,780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interest income</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28,404</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24,610</w:t>
            </w: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interest spread</w:t>
            </w: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2.67%</w:t>
            </w: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line="20" w:lineRule="exact"/>
              <w:rPr>
                <w:sz w:val="1"/>
                <w:szCs w:val="1"/>
                <w:color w:val="auto"/>
              </w:rPr>
            </w:pPr>
          </w:p>
        </w:tc>
      </w:tr>
      <w:tr>
        <w:trPr>
          <w:trHeight w:val="162"/>
        </w:trPr>
        <w:tc>
          <w:tcPr>
            <w:tcW w:w="4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margin</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line="216" w:lineRule="exact"/>
              <w:rPr>
                <w:sz w:val="20"/>
                <w:szCs w:val="20"/>
                <w:color w:val="auto"/>
              </w:rPr>
            </w:pPr>
            <w:r>
              <w:rPr>
                <w:rFonts w:ascii="Arial" w:cs="Arial" w:eastAsia="Arial" w:hAnsi="Arial"/>
                <w:sz w:val="16"/>
                <w:szCs w:val="16"/>
                <w:color w:val="auto"/>
              </w:rPr>
              <w:t>Net interest margin FTE</w:t>
            </w:r>
            <w:r>
              <w:rPr>
                <w:rFonts w:ascii="Arial" w:cs="Arial" w:eastAsia="Arial" w:hAnsi="Arial"/>
                <w:sz w:val="21"/>
                <w:szCs w:val="21"/>
                <w:color w:val="auto"/>
                <w:vertAlign w:val="superscript"/>
              </w:rPr>
              <w:t>(3)</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deposits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5"/>
        </w:trPr>
        <w:tc>
          <w:tcPr>
            <w:tcW w:w="4160" w:type="dxa"/>
            <w:vAlign w:val="bottom"/>
          </w:tcPr>
          <w:p>
            <w:pPr>
              <w:ind w:left="20"/>
              <w:spacing w:after="0"/>
              <w:rPr>
                <w:sz w:val="20"/>
                <w:szCs w:val="20"/>
                <w:color w:val="auto"/>
              </w:rPr>
            </w:pPr>
            <w:r>
              <w:rPr>
                <w:rFonts w:ascii="Arial" w:cs="Arial" w:eastAsia="Arial" w:hAnsi="Arial"/>
                <w:sz w:val="16"/>
                <w:szCs w:val="16"/>
                <w:color w:val="auto"/>
              </w:rPr>
              <w:t>Cost of funds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Includes average outstanding balances of loans held for sale of $2.7 million and $2.6 million for the three months ended March 31, 2026 and 2025, respectively.</w:t>
      </w:r>
    </w:p>
    <w:p>
      <w:pPr>
        <w:spacing w:after="0" w:line="8" w:lineRule="exact"/>
        <w:rPr>
          <w:rFonts w:ascii="Arial" w:cs="Arial" w:eastAsia="Arial" w:hAnsi="Arial"/>
          <w:sz w:val="16"/>
          <w:szCs w:val="16"/>
          <w:color w:val="auto"/>
          <w:vertAlign w:val="superscript"/>
        </w:rPr>
      </w:pPr>
    </w:p>
    <w:p>
      <w:pPr>
        <w:ind w:left="160" w:hanging="152"/>
        <w:spacing w:after="0" w:line="193" w:lineRule="auto"/>
        <w:tabs>
          <w:tab w:leader="none" w:pos="16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Nonaccrual loans are included as loans carrying a zero yield.</w:t>
      </w:r>
    </w:p>
    <w:p>
      <w:pPr>
        <w:ind w:left="160" w:hanging="152"/>
        <w:spacing w:after="0" w:line="200" w:lineRule="auto"/>
        <w:tabs>
          <w:tab w:leader="none" w:pos="16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Net interest margin FTE includes an FTE adjustment using a 21.0% federal income tax rate on tax-exempt securities and tax-exempt loans.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4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RECONCILIATION OF NON-GAAP FINANCIAL MEASURES (UNAUDITED)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 except per share data)</w:t>
            </w:r>
          </w:p>
        </w:tc>
        <w:tc>
          <w:tcPr>
            <w:tcW w:w="28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60" w:type="dxa"/>
            <w:vAlign w:val="bottom"/>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9"/>
        </w:trPr>
        <w:tc>
          <w:tcPr>
            <w:tcW w:w="64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Tangible common equity</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40" w:type="dxa"/>
            <w:vAlign w:val="bottom"/>
          </w:tcPr>
          <w:p>
            <w:pPr>
              <w:ind w:left="260"/>
              <w:spacing w:after="0"/>
              <w:rPr>
                <w:sz w:val="20"/>
                <w:szCs w:val="20"/>
                <w:color w:val="auto"/>
              </w:rPr>
            </w:pPr>
            <w:r>
              <w:rPr>
                <w:rFonts w:ascii="Arial" w:cs="Arial" w:eastAsia="Arial" w:hAnsi="Arial"/>
                <w:sz w:val="16"/>
                <w:szCs w:val="16"/>
                <w:color w:val="auto"/>
              </w:rPr>
              <w:t>Total stockholders’ equity</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373,326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365,150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333,316</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Adjustments: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Intangible assets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(1,546)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234"/>
        </w:trPr>
        <w:tc>
          <w:tcPr>
            <w:tcW w:w="6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tangible common equity (non-GAAP)</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371,780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363,604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331,770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Realized common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stockholders’ equity</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373,326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365,150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333,316</w:t>
            </w:r>
          </w:p>
        </w:tc>
        <w:tc>
          <w:tcPr>
            <w:tcW w:w="0" w:type="dxa"/>
            <w:vAlign w:val="bottom"/>
          </w:tcPr>
          <w:p>
            <w:pPr>
              <w:spacing w:after="0"/>
              <w:rPr>
                <w:sz w:val="1"/>
                <w:szCs w:val="1"/>
                <w:color w:val="auto"/>
              </w:rPr>
            </w:pPr>
          </w:p>
        </w:tc>
      </w:tr>
      <w:tr>
        <w:trPr>
          <w:trHeight w:val="215"/>
        </w:trPr>
        <w:tc>
          <w:tcPr>
            <w:tcW w:w="6440" w:type="dxa"/>
            <w:vAlign w:val="bottom"/>
          </w:tcPr>
          <w:p>
            <w:pPr>
              <w:ind w:left="260"/>
              <w:spacing w:after="0"/>
              <w:rPr>
                <w:sz w:val="20"/>
                <w:szCs w:val="20"/>
                <w:color w:val="auto"/>
              </w:rPr>
            </w:pPr>
            <w:r>
              <w:rPr>
                <w:rFonts w:ascii="Arial" w:cs="Arial" w:eastAsia="Arial" w:hAnsi="Arial"/>
                <w:sz w:val="16"/>
                <w:szCs w:val="16"/>
                <w:color w:val="auto"/>
              </w:rPr>
              <w:t>Adjustments: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45,652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43,341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56,358</w:t>
            </w:r>
          </w:p>
        </w:tc>
        <w:tc>
          <w:tcPr>
            <w:tcW w:w="0" w:type="dxa"/>
            <w:vAlign w:val="bottom"/>
          </w:tcPr>
          <w:p>
            <w:pPr>
              <w:spacing w:after="0"/>
              <w:rPr>
                <w:sz w:val="1"/>
                <w:szCs w:val="1"/>
                <w:color w:val="auto"/>
              </w:rPr>
            </w:pPr>
          </w:p>
        </w:tc>
      </w:tr>
      <w:tr>
        <w:trPr>
          <w:trHeight w:val="209"/>
        </w:trPr>
        <w:tc>
          <w:tcPr>
            <w:tcW w:w="6440" w:type="dxa"/>
            <w:vAlign w:val="bottom"/>
          </w:tcPr>
          <w:p>
            <w:pPr>
              <w:ind w:left="260"/>
              <w:spacing w:after="0"/>
              <w:rPr>
                <w:sz w:val="20"/>
                <w:szCs w:val="20"/>
                <w:color w:val="auto"/>
              </w:rPr>
            </w:pPr>
            <w:r>
              <w:rPr>
                <w:rFonts w:ascii="Arial" w:cs="Arial" w:eastAsia="Arial" w:hAnsi="Arial"/>
                <w:sz w:val="16"/>
                <w:szCs w:val="16"/>
                <w:color w:val="auto"/>
              </w:rPr>
              <w:t>Total realized common equity (non-GAAP)</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418,978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408,491</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389,674</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shares outstanding</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6,577,186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6,576,609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6,777,657</w:t>
            </w:r>
          </w:p>
        </w:tc>
        <w:tc>
          <w:tcPr>
            <w:tcW w:w="0" w:type="dxa"/>
            <w:vAlign w:val="bottom"/>
          </w:tcPr>
          <w:p>
            <w:pPr>
              <w:spacing w:after="0"/>
              <w:rPr>
                <w:sz w:val="1"/>
                <w:szCs w:val="1"/>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Book value per share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56.76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55.52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49.18</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Tangible book value per share (non-GAAP)</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56.53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55.29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48.95</w:t>
            </w:r>
          </w:p>
        </w:tc>
        <w:tc>
          <w:tcPr>
            <w:tcW w:w="0" w:type="dxa"/>
            <w:vAlign w:val="bottom"/>
          </w:tcPr>
          <w:p>
            <w:pPr>
              <w:spacing w:after="0"/>
              <w:rPr>
                <w:sz w:val="1"/>
                <w:szCs w:val="1"/>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Realized book value per share (non-GAAP)</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63.70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62.11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57.49</w:t>
            </w:r>
          </w:p>
        </w:tc>
        <w:tc>
          <w:tcPr>
            <w:tcW w:w="0" w:type="dxa"/>
            <w:vAlign w:val="bottom"/>
          </w:tcPr>
          <w:p>
            <w:pPr>
              <w:spacing w:after="0"/>
              <w:rPr>
                <w:sz w:val="1"/>
                <w:szCs w:val="1"/>
                <w:color w:val="auto"/>
              </w:rPr>
            </w:pPr>
          </w:p>
        </w:tc>
      </w:tr>
      <w:tr>
        <w:trPr>
          <w:trHeight w:val="257"/>
        </w:trPr>
        <w:tc>
          <w:tcPr>
            <w:tcW w:w="64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Tangible assets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assets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3,346,600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3,350,910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3,186,432</w:t>
            </w:r>
          </w:p>
        </w:tc>
        <w:tc>
          <w:tcPr>
            <w:tcW w:w="0" w:type="dxa"/>
            <w:vAlign w:val="bottom"/>
          </w:tcPr>
          <w:p>
            <w:pPr>
              <w:spacing w:after="0"/>
              <w:rPr>
                <w:sz w:val="1"/>
                <w:szCs w:val="1"/>
                <w:color w:val="auto"/>
              </w:rPr>
            </w:pPr>
          </w:p>
        </w:tc>
      </w:tr>
      <w:tr>
        <w:trPr>
          <w:trHeight w:val="215"/>
        </w:trPr>
        <w:tc>
          <w:tcPr>
            <w:tcW w:w="6440" w:type="dxa"/>
            <w:vAlign w:val="bottom"/>
          </w:tcPr>
          <w:p>
            <w:pPr>
              <w:ind w:left="260"/>
              <w:spacing w:after="0"/>
              <w:rPr>
                <w:sz w:val="20"/>
                <w:szCs w:val="20"/>
                <w:color w:val="auto"/>
              </w:rPr>
            </w:pPr>
            <w:r>
              <w:rPr>
                <w:rFonts w:ascii="Arial" w:cs="Arial" w:eastAsia="Arial" w:hAnsi="Arial"/>
                <w:sz w:val="16"/>
                <w:szCs w:val="16"/>
                <w:color w:val="auto"/>
              </w:rPr>
              <w:t>Adjustments: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Intangible assets</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(1,546)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(1,546)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209"/>
        </w:trPr>
        <w:tc>
          <w:tcPr>
            <w:tcW w:w="6440" w:type="dxa"/>
            <w:vAlign w:val="bottom"/>
          </w:tcPr>
          <w:p>
            <w:pPr>
              <w:ind w:left="260"/>
              <w:spacing w:after="0"/>
              <w:rPr>
                <w:sz w:val="20"/>
                <w:szCs w:val="20"/>
                <w:color w:val="auto"/>
              </w:rPr>
            </w:pPr>
            <w:r>
              <w:rPr>
                <w:rFonts w:ascii="Arial" w:cs="Arial" w:eastAsia="Arial" w:hAnsi="Arial"/>
                <w:sz w:val="16"/>
                <w:szCs w:val="16"/>
                <w:color w:val="auto"/>
              </w:rPr>
              <w:t>Total tangible assets (non-GAAP)</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3,345,054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3,349,364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3,184,886</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 to assets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Tangible common equity to tangible assets (non-GAAP)</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sectPr>
      <w:pgSz w:w="11900" w:h="16838" w:orient="portrait"/>
      <w:cols w:equalWidth="0" w:num="1">
        <w:col w:w="11240"/>
      </w:cols>
      <w:pgMar w:left="320" w:top="14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2026-04-30T07:49:34Z</dcterms:created>
  <dcterms:modified xsi:type="dcterms:W3CDTF">2026-04-30T07:49:34Z</dcterms:modified>
</cp:coreProperties>
</file>