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Arial;sans-serif" w:hAnsi="Arial;sans-serif"/>
          <w:b/>
          <w:color w:val="000000"/>
          <w:sz w:val="28"/>
        </w:rPr>
      </w:pPr>
      <w:r>
        <w:rPr>
          <w:rFonts w:ascii="Arial;sans-serif" w:hAnsi="Arial;sans-serif"/>
          <w:b/>
          <w:color w:val="000000"/>
          <w:sz w:val="28"/>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231F20"/>
          <w:sz w:val="24"/>
        </w:rPr>
      </w:pPr>
      <w:r>
        <w:rPr>
          <w:rFonts w:ascii="Arial;sans-serif" w:hAnsi="Arial;sans-serif"/>
          <w:b/>
          <w:color w:val="231F20"/>
          <w:sz w:val="24"/>
        </w:rPr>
        <w:t>CURRENT REPORT</w:t>
      </w:r>
    </w:p>
    <w:p>
      <w:pPr>
        <w:pStyle w:val="TextBody"/>
        <w:bidi w:val="0"/>
        <w:spacing w:lineRule="auto" w:line="288" w:before="20" w:after="283"/>
        <w:jc w:val="center"/>
        <w:rPr>
          <w:rFonts w:ascii="Arial;sans-serif" w:hAnsi="Arial;sans-serif"/>
          <w:b/>
          <w:color w:val="231F20"/>
          <w:sz w:val="24"/>
        </w:rPr>
      </w:pPr>
      <w:r>
        <w:rPr>
          <w:rFonts w:ascii="Arial;sans-serif" w:hAnsi="Arial;sans-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August 27, 2026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Arial;sans-serif" w:hAnsi="Arial;sans-serif"/>
          <w:b/>
          <w:color w:val="000000"/>
          <w:sz w:val="36"/>
        </w:rPr>
      </w:pPr>
      <w:r>
        <w:rPr>
          <w:rFonts w:ascii="Arial;sans-serif" w:hAnsi="Arial;sans-serif"/>
          <w:b/>
          <w:color w:val="000000"/>
          <w:sz w:val="36"/>
        </w:rPr>
        <w:t xml:space="preserve">Red River Bancshares, Inc. </w:t>
      </w:r>
    </w:p>
    <w:p>
      <w:pPr>
        <w:pStyle w:val="TextBody"/>
        <w:bidi w:val="0"/>
        <w:spacing w:lineRule="auto" w:line="345" w:before="0" w:after="0"/>
        <w:jc w:val="center"/>
        <w:rPr>
          <w:rFonts w:ascii="Arial;sans-serif" w:hAnsi="Arial;sans-serif"/>
          <w:b/>
          <w:color w:val="000000"/>
          <w:sz w:val="24"/>
        </w:rPr>
      </w:pPr>
      <w:r>
        <w:rPr>
          <w:rFonts w:ascii="Arial;sans-serif" w:hAnsi="Arial;sans-serif"/>
          <w:b/>
          <w:color w:val="000000"/>
          <w:sz w:val="24"/>
        </w:rPr>
        <w:t>(Exact Name of Registrant as Specified in its Charter)</w:t>
      </w:r>
    </w:p>
    <w:tbl>
      <w:tblPr>
        <w:tblW w:w="5892" w:type="dxa"/>
        <w:jc w:val="center"/>
        <w:tblInd w:w="0" w:type="dxa"/>
        <w:tblLayout w:type="fixed"/>
        <w:tblCellMar>
          <w:top w:w="28" w:type="dxa"/>
          <w:left w:w="28" w:type="dxa"/>
          <w:bottom w:w="28" w:type="dxa"/>
          <w:right w:w="28" w:type="dxa"/>
        </w:tblCellMar>
      </w:tblPr>
      <w:tblGrid>
        <w:gridCol w:w="1085"/>
        <w:gridCol w:w="954"/>
        <w:gridCol w:w="967"/>
        <w:gridCol w:w="531"/>
        <w:gridCol w:w="531"/>
        <w:gridCol w:w="534"/>
        <w:gridCol w:w="377"/>
        <w:gridCol w:w="377"/>
        <w:gridCol w:w="53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8"/>
              </w:rPr>
            </w:pPr>
            <w:r>
              <w:rPr>
                <w:rFonts w:ascii="Arial;sans-serif" w:hAnsi="Arial;sans-serif"/>
                <w:b/>
                <w:color w:val="000000"/>
                <w:sz w:val="18"/>
              </w:rPr>
              <w:t>Louisiana</w:t>
            </w:r>
          </w:p>
        </w:tc>
        <w:tc>
          <w:tcPr>
            <w:tcW w:w="1596"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Arial;sans-serif" w:hAnsi="Arial;sans-serif"/>
                <w:b/>
                <w:color w:val="000000"/>
                <w:sz w:val="18"/>
              </w:rPr>
            </w:pPr>
            <w:r>
              <w:rPr>
                <w:rFonts w:ascii="Arial;sans-serif" w:hAnsi="Arial;sans-serif"/>
                <w:b/>
                <w:color w:val="000000"/>
                <w:sz w:val="18"/>
              </w:rPr>
              <w:t>001-38888</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8"/>
              </w:rPr>
            </w:pPr>
            <w:r>
              <w:rPr>
                <w:rFonts w:ascii="Arial;sans-serif" w:hAnsi="Arial;sans-serif"/>
                <w:b/>
                <w:color w:val="000000"/>
                <w:sz w:val="18"/>
              </w:rPr>
              <w:t>72-1412058</w:t>
            </w:r>
          </w:p>
        </w:tc>
      </w:tr>
      <w:tr>
        <w:trPr/>
        <w:tc>
          <w:tcPr>
            <w:tcW w:w="30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(State or Other Jurisdiction</w:t>
            </w:r>
          </w:p>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of Incorporation)</w:t>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(Commission</w:t>
            </w:r>
          </w:p>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File Number)</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(IRS Employer</w:t>
            </w:r>
          </w:p>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Identification No.)</w:t>
            </w:r>
          </w:p>
        </w:tc>
      </w:tr>
      <w:tr>
        <w:trPr/>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1412 Centre Court Drive, Suite 301, Alexandria, Louisiana</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71301</w:t>
            </w:r>
          </w:p>
        </w:tc>
      </w:tr>
      <w:tr>
        <w:trPr/>
        <w:tc>
          <w:tcPr>
            <w:tcW w:w="460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(Address of Principal Executive Offices)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before="0" w:after="0"/>
        <w:jc w:val="center"/>
        <w:rPr/>
      </w:pPr>
      <w:r>
        <w:rPr/>
      </w:r>
    </w:p>
    <w:p>
      <w:pPr>
        <w:pStyle w:val="TextBody"/>
        <w:bidi w:val="0"/>
        <w:spacing w:lineRule="auto" w:line="345" w:before="0" w:after="0"/>
        <w:jc w:val="center"/>
        <w:rPr>
          <w:rFonts w:ascii="Arial;sans-serif" w:hAnsi="Arial;sans-serif"/>
          <w:b/>
          <w:color w:val="000000"/>
          <w:sz w:val="18"/>
        </w:rPr>
      </w:pPr>
      <w:r>
        <w:rPr>
          <w:rFonts w:ascii="Arial;sans-serif" w:hAnsi="Arial;sans-serif"/>
          <w:b/>
          <w:color w:val="000000"/>
          <w:sz w:val="18"/>
        </w:rPr>
        <w:t xml:space="preserve">(318) 561-4000 </w:t>
      </w:r>
    </w:p>
    <w:p>
      <w:pPr>
        <w:pStyle w:val="TextBody"/>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20"/>
        <w:jc w:val="left"/>
        <w:rPr>
          <w:color w:val="000000"/>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Arial;sans-serif" w:hAnsi="Arial;sans-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Arial;sans-serif" w:hAnsi="Arial;sans-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Arial;sans-serif" w:hAnsi="Arial;sans-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6284" w:type="dxa"/>
        <w:jc w:val="center"/>
        <w:tblInd w:w="0" w:type="dxa"/>
        <w:tblLayout w:type="fixed"/>
        <w:tblCellMar>
          <w:top w:w="28" w:type="dxa"/>
          <w:left w:w="28" w:type="dxa"/>
          <w:bottom w:w="28" w:type="dxa"/>
          <w:right w:w="28" w:type="dxa"/>
        </w:tblCellMar>
      </w:tblPr>
      <w:tblGrid>
        <w:gridCol w:w="932"/>
        <w:gridCol w:w="819"/>
        <w:gridCol w:w="829"/>
        <w:gridCol w:w="304"/>
        <w:gridCol w:w="304"/>
        <w:gridCol w:w="306"/>
        <w:gridCol w:w="817"/>
        <w:gridCol w:w="817"/>
        <w:gridCol w:w="1156"/>
      </w:tblGrid>
      <w:tr>
        <w:trPr/>
        <w:tc>
          <w:tcPr>
            <w:tcW w:w="9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Trading </w:t>
              <w:br/>
              <w:t>Symbol(s)</w:t>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w:t>
              <w:br/>
              <w:t>on which registered</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no par value</w:t>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RRBI</w:t>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8.01    Other Events.</w:t>
      </w:r>
    </w:p>
    <w:p>
      <w:pPr>
        <w:pStyle w:val="TextBody"/>
        <w:bidi w:val="0"/>
        <w:spacing w:lineRule="auto" w:line="288" w:before="0" w:after="0"/>
        <w:ind w:left="0" w:right="0" w:firstLine="720"/>
        <w:jc w:val="left"/>
        <w:rPr>
          <w:rFonts w:ascii="Arial;sans-serif" w:hAnsi="Arial;sans-serif"/>
          <w:b w:val="false"/>
          <w:color w:val="000000"/>
          <w:sz w:val="18"/>
        </w:rPr>
      </w:pPr>
      <w:r>
        <w:rPr>
          <w:rFonts w:ascii="Arial;sans-serif" w:hAnsi="Arial;sans-serif"/>
          <w:b w:val="false"/>
          <w:color w:val="000000"/>
          <w:sz w:val="18"/>
        </w:rPr>
        <w:t xml:space="preserve">On August 27, 2026, the board of directors of Red River Bancshares, Inc. (the “Company”) declared a quarterly cash dividend of $0.25 per share on the Company’s common stock. A copy of the press release issued by the Company announcing the dividend declaration is attached to this Current Report on Form 8-K as Exhibit 99.1 and is incorporated herein by reference. </w:t>
      </w:r>
    </w:p>
    <w:p>
      <w:pPr>
        <w:pStyle w:val="TextBody"/>
        <w:bidi w:val="0"/>
        <w:spacing w:before="0" w:after="0"/>
        <w:jc w:val="left"/>
        <w:rPr/>
      </w:pPr>
      <w:r>
        <w:rPr/>
      </w:r>
    </w:p>
    <w:p>
      <w:pPr>
        <w:pStyle w:val="TextBody"/>
        <w:bidi w:val="0"/>
        <w:spacing w:lineRule="auto" w:line="288" w:before="0" w:after="20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    Exhibits. The following are furnished as exhibits to this Current Report on Form 8-K.</w:t>
      </w:r>
    </w:p>
    <w:p>
      <w:pPr>
        <w:pStyle w:val="TextBody"/>
        <w:bidi w:val="0"/>
        <w:spacing w:before="0" w:after="0"/>
        <w:jc w:val="left"/>
        <w:rPr/>
      </w:pPr>
      <w:r>
        <w:rPr/>
      </w:r>
    </w:p>
    <w:tbl>
      <w:tblPr>
        <w:tblW w:w="767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13"/>
        <w:gridCol w:w="1913"/>
        <w:gridCol w:w="271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Exhibit</w:t>
            </w:r>
          </w:p>
          <w:p>
            <w:pPr>
              <w:pStyle w:val="TableContents"/>
              <w:bidi w:val="0"/>
              <w:spacing w:lineRule="auto" w:line="240" w:before="0" w:after="0"/>
              <w:jc w:val="left"/>
              <w:rPr>
                <w:rFonts w:ascii="Arial;sans-serif" w:hAnsi="Arial;sans-serif"/>
                <w:b/>
                <w:color w:val="000000"/>
                <w:sz w:val="18"/>
                <w:u w:val="single"/>
              </w:rPr>
            </w:pPr>
            <w:r>
              <w:rPr>
                <w:rFonts w:ascii="Arial;sans-serif" w:hAnsi="Arial;sans-serif"/>
                <w:b/>
                <w:color w:val="000000"/>
                <w:sz w:val="18"/>
                <w:u w:val="single"/>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6dividendex991.htm">
              <w:r>
                <w:rPr>
                  <w:rStyle w:val="InternetLink"/>
                  <w:rFonts w:ascii="Arial;sans-serif" w:hAnsi="Arial;sans-serif"/>
                  <w:b w:val="false"/>
                  <w:color w:val="0000FF"/>
                  <w:sz w:val="18"/>
                  <w:u w:val="single"/>
                </w:rPr>
                <w:t>Press Release, dated August 27, 2026, announcing quarterly dividend</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center"/>
        <w:rPr/>
      </w:pPr>
      <w:r>
        <w:rPr/>
      </w:r>
    </w:p>
    <w:p>
      <w:pPr>
        <w:pStyle w:val="TextBody"/>
        <w:bidi w:val="0"/>
        <w:spacing w:lineRule="auto" w:line="288" w:before="0" w:after="0"/>
        <w:ind w:left="0" w:right="0" w:firstLine="36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18"/>
        </w:rPr>
      </w:pPr>
      <w:r>
        <w:rPr>
          <w:rFonts w:ascii="Arial;sans-serif" w:hAnsi="Arial;sans-serif"/>
          <w:b w:val="false"/>
          <w:color w:val="000000"/>
          <w:sz w:val="18"/>
        </w:rPr>
        <w:t>Dated: August 27, 2026</w:t>
      </w:r>
    </w:p>
    <w:tbl>
      <w:tblPr>
        <w:tblW w:w="7476" w:type="dxa"/>
        <w:jc w:val="left"/>
        <w:tblInd w:w="0" w:type="dxa"/>
        <w:tblLayout w:type="fixed"/>
        <w:tblCellMar>
          <w:top w:w="28" w:type="dxa"/>
          <w:left w:w="28" w:type="dxa"/>
          <w:bottom w:w="28" w:type="dxa"/>
          <w:right w:w="28" w:type="dxa"/>
        </w:tblCellMar>
      </w:tblPr>
      <w:tblGrid>
        <w:gridCol w:w="124"/>
        <w:gridCol w:w="109"/>
        <w:gridCol w:w="109"/>
        <w:gridCol w:w="458"/>
        <w:gridCol w:w="458"/>
        <w:gridCol w:w="458"/>
        <w:gridCol w:w="1687"/>
        <w:gridCol w:w="1687"/>
        <w:gridCol w:w="23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RED RIVER BANCSHARES,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Julia E. Callis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Julia E. Callis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General Counsel,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2647950" cy="7143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47950" cy="7143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61" w:before="0" w:after="0"/>
        <w:jc w:val="center"/>
        <w:rPr>
          <w:rFonts w:ascii="Arial;sans-serif" w:hAnsi="Arial;sans-serif"/>
          <w:b/>
          <w:color w:val="000000"/>
          <w:sz w:val="32"/>
        </w:rPr>
      </w:pPr>
      <w:r>
        <w:rPr>
          <w:rFonts w:ascii="Arial;sans-serif" w:hAnsi="Arial;sans-serif"/>
          <w:b/>
          <w:color w:val="000000"/>
          <w:sz w:val="32"/>
        </w:rPr>
        <w:t xml:space="preserve">Red River Bancshares, Inc. Announces </w:t>
      </w:r>
    </w:p>
    <w:p>
      <w:pPr>
        <w:pStyle w:val="TextBody"/>
        <w:bidi w:val="0"/>
        <w:spacing w:lineRule="auto" w:line="261" w:before="0" w:after="0"/>
        <w:jc w:val="center"/>
        <w:rPr>
          <w:rFonts w:ascii="Arial;sans-serif" w:hAnsi="Arial;sans-serif"/>
          <w:b/>
          <w:color w:val="000000"/>
          <w:sz w:val="32"/>
        </w:rPr>
      </w:pPr>
      <w:r>
        <w:rPr>
          <w:rFonts w:ascii="Arial;sans-serif" w:hAnsi="Arial;sans-serif"/>
          <w:b/>
          <w:color w:val="000000"/>
          <w:sz w:val="32"/>
        </w:rPr>
        <w:t xml:space="preserve">Quarterly Cash Dividend </w:t>
      </w:r>
    </w:p>
    <w:p>
      <w:pPr>
        <w:pStyle w:val="TextBody"/>
        <w:bidi w:val="0"/>
        <w:spacing w:before="0" w:after="0"/>
        <w:jc w:val="center"/>
        <w:rPr/>
      </w:pPr>
      <w:r>
        <w:rPr/>
      </w:r>
    </w:p>
    <w:p>
      <w:pPr>
        <w:pStyle w:val="TextBody"/>
        <w:bidi w:val="0"/>
        <w:spacing w:lineRule="auto" w:line="333" w:before="0" w:after="0"/>
        <w:jc w:val="left"/>
        <w:rPr/>
      </w:pPr>
      <w:r>
        <w:rPr>
          <w:rFonts w:ascii="Arial;sans-serif" w:hAnsi="Arial;sans-serif"/>
          <w:b w:val="false"/>
          <w:color w:val="000000"/>
          <w:sz w:val="22"/>
        </w:rPr>
        <w:t xml:space="preserve">ALEXANDRIA, </w:t>
      </w:r>
      <w:r>
        <w:rPr>
          <w:rFonts w:ascii="Arial;sans-serif" w:hAnsi="Arial;sans-serif"/>
          <w:b w:val="false"/>
          <w:color w:val="242424"/>
          <w:sz w:val="22"/>
        </w:rPr>
        <w:t xml:space="preserve">La., August 27, 2026 (GLOBE NEWSWIRE) – Red River Bancshares, Inc. (Nasdaq: RRBI) (the “Company”) announced today that on August 27, 2026, its board of directors declared a quarterly cash dividend in an amount equal to $0.25 per share of common stock. The cash dividend is payable on September 17, 2026, to shareholders of record as of the close of business on September 8, 2026.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333333"/>
          <w:sz w:val="22"/>
        </w:rPr>
        <w:t>About Red River Bancshares, Inc.</w:t>
      </w:r>
      <w:r>
        <w:rPr>
          <w:color w:val="000000"/>
        </w:rPr>
        <w:t xml:space="preserve"> </w:t>
      </w:r>
      <w:r>
        <w:rPr>
          <w:rFonts w:ascii="Arial;sans-serif" w:hAnsi="Arial;sans-serif"/>
          <w:b w:val="false"/>
          <w:color w:val="000000"/>
          <w:sz w:val="20"/>
        </w:rPr>
        <w:br/>
      </w:r>
      <w:r>
        <w:rPr>
          <w:rFonts w:ascii="Arial;sans-serif" w:hAnsi="Arial;sans-serif"/>
          <w:b w:val="false"/>
          <w:color w:val="000000"/>
          <w:sz w:val="22"/>
        </w:rPr>
        <w:t xml:space="preserve">The Company is </w:t>
      </w:r>
      <w:r>
        <w:rPr>
          <w:rFonts w:ascii="Arial;sans-serif" w:hAnsi="Arial;sans-serif"/>
          <w:b w:val="false"/>
          <w:color w:val="242424"/>
          <w:sz w:val="22"/>
        </w:rPr>
        <w:t xml:space="preserve">the bank holding company for Red River Bank, a Louisiana state-chartered bank established in 1999 that provides a fully integrated suite of banking products and services tailored to the needs of our commercial and retail customers. Red River Bank operates from a network of 28 banking centers throughout Louisiana and two combined loan and deposit production offices, one each in Lafayette, Louisiana, and Shreveport, Louisiana. Banking centers are located in the following Louisiana markets: </w:t>
      </w:r>
      <w:r>
        <w:rPr>
          <w:rFonts w:ascii="Arial;sans-serif" w:hAnsi="Arial;sans-serif"/>
          <w:b w:val="false"/>
          <w:color w:val="333333"/>
          <w:sz w:val="22"/>
        </w:rPr>
        <w:t>Central, which includes the Alexandria metropolitan statistical area ("MSA"); Northwest, which includes the Shreveport-Bossier City MSA; Capital, which includes the Baton Rouge MSA; Southwest, which includes the Lake Charles MSA; the Northshore, which includes the Slidell-Mandeville-Covington MSA; Acadiana, which includes the Lafayette MSA; and New Orleans, which includes the New Orleans-Metairie MSA.</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333333"/>
          <w:sz w:val="22"/>
        </w:rPr>
      </w:pPr>
      <w:r>
        <w:rPr>
          <w:rFonts w:ascii="Arial;sans-serif" w:hAnsi="Arial;sans-serif"/>
          <w:b/>
          <w:color w:val="333333"/>
          <w:sz w:val="22"/>
        </w:rPr>
        <w:t>Contact:</w:t>
      </w:r>
    </w:p>
    <w:p>
      <w:pPr>
        <w:pStyle w:val="TextBody"/>
        <w:bidi w:val="0"/>
        <w:spacing w:lineRule="auto" w:line="333" w:before="0" w:after="0"/>
        <w:jc w:val="left"/>
        <w:rPr>
          <w:rFonts w:ascii="Arial;sans-serif" w:hAnsi="Arial;sans-serif"/>
          <w:b w:val="false"/>
          <w:color w:val="242424"/>
          <w:sz w:val="22"/>
        </w:rPr>
      </w:pPr>
      <w:r>
        <w:rPr>
          <w:rFonts w:ascii="Arial;sans-serif" w:hAnsi="Arial;sans-serif"/>
          <w:b w:val="false"/>
          <w:color w:val="242424"/>
          <w:sz w:val="22"/>
        </w:rPr>
        <w:t>Julia E. Callis</w:t>
      </w:r>
    </w:p>
    <w:p>
      <w:pPr>
        <w:pStyle w:val="TextBody"/>
        <w:bidi w:val="0"/>
        <w:spacing w:lineRule="auto" w:line="333" w:before="0" w:after="0"/>
        <w:jc w:val="left"/>
        <w:rPr>
          <w:rFonts w:ascii="Arial;sans-serif" w:hAnsi="Arial;sans-serif"/>
          <w:b w:val="false"/>
          <w:color w:val="242424"/>
          <w:sz w:val="22"/>
        </w:rPr>
      </w:pPr>
      <w:r>
        <w:rPr>
          <w:rFonts w:ascii="Arial;sans-serif" w:hAnsi="Arial;sans-serif"/>
          <w:b w:val="false"/>
          <w:color w:val="242424"/>
          <w:sz w:val="22"/>
        </w:rPr>
        <w:t>Executive Vice President, General Counsel &amp; Corporate Secretary</w:t>
      </w:r>
    </w:p>
    <w:p>
      <w:pPr>
        <w:pStyle w:val="TextBody"/>
        <w:bidi w:val="0"/>
        <w:spacing w:lineRule="auto" w:line="333" w:before="0" w:after="0"/>
        <w:jc w:val="left"/>
        <w:rPr>
          <w:rFonts w:ascii="Arial;sans-serif" w:hAnsi="Arial;sans-serif"/>
          <w:b w:val="false"/>
          <w:color w:val="242424"/>
          <w:sz w:val="22"/>
        </w:rPr>
      </w:pPr>
      <w:r>
        <w:rPr>
          <w:rFonts w:ascii="Arial;sans-serif" w:hAnsi="Arial;sans-serif"/>
          <w:b w:val="false"/>
          <w:color w:val="242424"/>
          <w:sz w:val="22"/>
        </w:rPr>
        <w:t>318-561-4042</w:t>
      </w:r>
    </w:p>
    <w:p>
      <w:pPr>
        <w:pStyle w:val="TextBody"/>
        <w:bidi w:val="0"/>
        <w:spacing w:lineRule="auto" w:line="333" w:before="0" w:after="0"/>
        <w:jc w:val="left"/>
        <w:rPr>
          <w:rFonts w:ascii="Arial;sans-serif" w:hAnsi="Arial;sans-serif"/>
          <w:b w:val="false"/>
          <w:color w:val="242424"/>
          <w:sz w:val="22"/>
        </w:rPr>
      </w:pPr>
      <w:r>
        <w:rPr>
          <w:rFonts w:ascii="Arial;sans-serif" w:hAnsi="Arial;sans-serif"/>
          <w:b w:val="false"/>
          <w:color w:val="242424"/>
          <w:sz w:val="22"/>
        </w:rPr>
        <w:t>julia.callis@redriverbank.net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3842</Characters>
  <CharactersWithSpaces>4484</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