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Arial;sans-serif" w:hAnsi="Arial;sans-serif"/>
          <w:b/>
          <w:color w:val="000000"/>
          <w:sz w:val="28"/>
        </w:rPr>
      </w:pPr>
      <w:r>
        <w:rPr>
          <w:rFonts w:ascii="Arial;sans-serif" w:hAnsi="Arial;sans-serif"/>
          <w:b/>
          <w:color w:val="000000"/>
          <w:sz w:val="28"/>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231F20"/>
          <w:sz w:val="24"/>
        </w:rPr>
      </w:pPr>
      <w:r>
        <w:rPr>
          <w:rFonts w:ascii="Arial;sans-serif" w:hAnsi="Arial;sans-serif"/>
          <w:b/>
          <w:color w:val="231F20"/>
          <w:sz w:val="24"/>
        </w:rPr>
        <w:t>CURRENT REPORT</w:t>
      </w:r>
    </w:p>
    <w:p>
      <w:pPr>
        <w:pStyle w:val="TextBody"/>
        <w:bidi w:val="0"/>
        <w:spacing w:lineRule="auto" w:line="288" w:before="20" w:after="283"/>
        <w:jc w:val="center"/>
        <w:rPr>
          <w:rFonts w:ascii="Arial;sans-serif" w:hAnsi="Arial;sans-serif"/>
          <w:b/>
          <w:color w:val="231F20"/>
          <w:sz w:val="24"/>
        </w:rPr>
      </w:pPr>
      <w:r>
        <w:rPr>
          <w:rFonts w:ascii="Arial;sans-serif" w:hAnsi="Arial;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4"/>
        </w:rPr>
        <w:t>May 7, 2026</w:t>
      </w:r>
      <w:r>
        <w:rPr>
          <w:color w:val="000000"/>
        </w:rPr>
        <w:t xml:space="preserve">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 xml:space="preserve">Red River Bancshares, Inc. </w:t>
      </w:r>
    </w:p>
    <w:p>
      <w:pPr>
        <w:pStyle w:val="TextBody"/>
        <w:bidi w:val="0"/>
        <w:spacing w:lineRule="auto" w:line="345"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tbl>
      <w:tblPr>
        <w:tblW w:w="5892" w:type="dxa"/>
        <w:jc w:val="center"/>
        <w:tblInd w:w="0" w:type="dxa"/>
        <w:tblLayout w:type="fixed"/>
        <w:tblCellMar>
          <w:top w:w="28" w:type="dxa"/>
          <w:left w:w="28" w:type="dxa"/>
          <w:bottom w:w="28" w:type="dxa"/>
          <w:right w:w="28" w:type="dxa"/>
        </w:tblCellMar>
      </w:tblPr>
      <w:tblGrid>
        <w:gridCol w:w="1085"/>
        <w:gridCol w:w="954"/>
        <w:gridCol w:w="967"/>
        <w:gridCol w:w="531"/>
        <w:gridCol w:w="531"/>
        <w:gridCol w:w="534"/>
        <w:gridCol w:w="377"/>
        <w:gridCol w:w="377"/>
        <w:gridCol w:w="53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Louisiana</w:t>
            </w:r>
          </w:p>
        </w:tc>
        <w:tc>
          <w:tcPr>
            <w:tcW w:w="1596"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Arial;sans-serif" w:hAnsi="Arial;sans-serif"/>
                <w:b/>
                <w:color w:val="000000"/>
                <w:sz w:val="18"/>
              </w:rPr>
            </w:pPr>
            <w:r>
              <w:rPr>
                <w:rFonts w:ascii="Arial;sans-serif" w:hAnsi="Arial;sans-serif"/>
                <w:b/>
                <w:color w:val="000000"/>
                <w:sz w:val="18"/>
              </w:rPr>
              <w:t>001-38888</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72-1412058</w:t>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(State or Other Jurisdiction</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of Incorporation)</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(Commission</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File Number)</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(IRS Employer</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Identification No.)</w:t>
            </w:r>
          </w:p>
        </w:tc>
      </w:tr>
      <w:tr>
        <w:trPr/>
        <w:tc>
          <w:tcPr>
            <w:tcW w:w="46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1412 Centre Court Drive, Suite 301, Alexandria, Louisiana</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71301</w:t>
            </w:r>
          </w:p>
        </w:tc>
      </w:tr>
      <w:tr>
        <w:trPr/>
        <w:tc>
          <w:tcPr>
            <w:tcW w:w="460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(Address of Principal Executive Offices)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 xml:space="preserve">(318) 561-4000 </w:t>
      </w:r>
    </w:p>
    <w:p>
      <w:pPr>
        <w:pStyle w:val="TextBody"/>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Arial;sans-serif" w:hAnsi="Arial;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6748" w:type="dxa"/>
        <w:jc w:val="center"/>
        <w:tblInd w:w="0" w:type="dxa"/>
        <w:tblLayout w:type="fixed"/>
        <w:tblCellMar>
          <w:top w:w="28" w:type="dxa"/>
          <w:left w:w="28" w:type="dxa"/>
          <w:bottom w:w="28" w:type="dxa"/>
          <w:right w:w="28" w:type="dxa"/>
        </w:tblCellMar>
      </w:tblPr>
      <w:tblGrid>
        <w:gridCol w:w="1024"/>
        <w:gridCol w:w="900"/>
        <w:gridCol w:w="911"/>
        <w:gridCol w:w="304"/>
        <w:gridCol w:w="304"/>
        <w:gridCol w:w="306"/>
        <w:gridCol w:w="878"/>
        <w:gridCol w:w="878"/>
        <w:gridCol w:w="1243"/>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Trading </w:t>
              <w:br/>
              <w:t>Symbol(s)</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no par value</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RRBI</w:t>
            </w:r>
          </w:p>
        </w:tc>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5.07    Submission of Matters to a Vote of Security Holders.</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(a) The Annual Meeting of Red River Bancshares, Inc. (the “Company”) was held on May 7, 2026. At the Annual Meeting, shareholders were asked to vote on (1) the election of eight directors; and (2) the ratification of EisnerAmper LLP as the Company’s independent registered public accounting firm for the year ending December 31, 2026. As of the close of business on February 27, 2026, the record date for the Annual Meeting, the Company had 6,577,186 shares of common stock outstanding and entitled to vote. Of that number, 5,292,345 shares were represented in person or by proxy at the Annual Meeting.</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(b) The final results of the voting at the Annual Meeting are described below.</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The shareholders of the Company elected the individuals listed below to serve as directors of the Company until the Company’s 2027 annual meeting of shareholders by the votes set forth in the table below:</w:t>
      </w:r>
    </w:p>
    <w:tbl>
      <w:tblPr>
        <w:tblW w:w="6765" w:type="dxa"/>
        <w:jc w:val="left"/>
        <w:tblInd w:w="0" w:type="dxa"/>
        <w:tblLayout w:type="fixed"/>
        <w:tblCellMar>
          <w:top w:w="28" w:type="dxa"/>
          <w:left w:w="28" w:type="dxa"/>
          <w:bottom w:w="28" w:type="dxa"/>
          <w:right w:w="28" w:type="dxa"/>
        </w:tblCellMar>
      </w:tblPr>
      <w:tblGrid>
        <w:gridCol w:w="998"/>
        <w:gridCol w:w="877"/>
        <w:gridCol w:w="885"/>
        <w:gridCol w:w="309"/>
        <w:gridCol w:w="309"/>
        <w:gridCol w:w="313"/>
        <w:gridCol w:w="459"/>
        <w:gridCol w:w="459"/>
        <w:gridCol w:w="461"/>
        <w:gridCol w:w="495"/>
        <w:gridCol w:w="495"/>
        <w:gridCol w:w="705"/>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Nominee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Votes For</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Votes Withheld</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Broker Non-Votes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 Scott Ashbrook</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3,494,079</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27,708</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1,770,558</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 Blake Chatelain</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3,494,598</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27,189</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1,770,558</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D. Crowell</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3,472,642</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49,145</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1,770,558</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Anna Brasher Moreau, DDS, MS</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3,476,430</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45,357</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1,770,558</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Willie P. Obey</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3,447,451</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74,336</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1,770,558</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Teddy R. Price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3,313,926</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207,861</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1,770,558</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Don L. Thompson</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3,452,811</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68,976</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1,770,558</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 Lindsey Torbett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3,423,024</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98,763</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1,770,558</w:t>
            </w:r>
          </w:p>
        </w:tc>
      </w:tr>
    </w:tbl>
    <w:p>
      <w:pPr>
        <w:pStyle w:val="TextBody"/>
        <w:bidi w:val="0"/>
        <w:spacing w:lineRule="auto" w:line="288" w:before="200" w:after="283"/>
        <w:ind w:left="0" w:right="0" w:hanging="360"/>
        <w:jc w:val="left"/>
        <w:rPr>
          <w:rFonts w:ascii="Arial;sans-serif" w:hAnsi="Arial;sans-serif"/>
          <w:b w:val="false"/>
          <w:color w:val="000000"/>
          <w:sz w:val="18"/>
        </w:rPr>
      </w:pPr>
      <w:r>
        <w:rPr>
          <w:rFonts w:ascii="Arial;sans-serif" w:hAnsi="Arial;sans-serif"/>
          <w:b w:val="false"/>
          <w:color w:val="000000"/>
          <w:sz w:val="18"/>
        </w:rPr>
        <w:t>The shareholders of the Company ratified the appointment of EisnerAmper LLP as the Company’s independent registered public accounting firm for the year ending December 31, 2026, by the votes set forth in the table below:</w:t>
      </w:r>
    </w:p>
    <w:tbl>
      <w:tblPr>
        <w:tblW w:w="3436" w:type="dxa"/>
        <w:jc w:val="left"/>
        <w:tblInd w:w="0" w:type="dxa"/>
        <w:tblLayout w:type="fixed"/>
        <w:tblCellMar>
          <w:top w:w="28" w:type="dxa"/>
          <w:left w:w="28" w:type="dxa"/>
          <w:bottom w:w="28" w:type="dxa"/>
          <w:right w:w="28" w:type="dxa"/>
        </w:tblCellMar>
      </w:tblPr>
      <w:tblGrid>
        <w:gridCol w:w="342"/>
        <w:gridCol w:w="301"/>
        <w:gridCol w:w="303"/>
        <w:gridCol w:w="434"/>
        <w:gridCol w:w="434"/>
        <w:gridCol w:w="436"/>
        <w:gridCol w:w="347"/>
        <w:gridCol w:w="347"/>
        <w:gridCol w:w="49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Votes For</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Votes Against</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Abstentions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5,281,947</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8,095</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2,303</w:t>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Dated: May 7, 2026</w:t>
      </w:r>
    </w:p>
    <w:tbl>
      <w:tblPr>
        <w:tblW w:w="5825" w:type="dxa"/>
        <w:jc w:val="left"/>
        <w:tblInd w:w="0" w:type="dxa"/>
        <w:tblLayout w:type="fixed"/>
        <w:tblCellMar>
          <w:top w:w="28" w:type="dxa"/>
          <w:left w:w="28" w:type="dxa"/>
          <w:bottom w:w="28" w:type="dxa"/>
          <w:right w:w="28" w:type="dxa"/>
        </w:tblCellMar>
      </w:tblPr>
      <w:tblGrid>
        <w:gridCol w:w="124"/>
        <w:gridCol w:w="109"/>
        <w:gridCol w:w="109"/>
        <w:gridCol w:w="458"/>
        <w:gridCol w:w="458"/>
        <w:gridCol w:w="458"/>
        <w:gridCol w:w="1203"/>
        <w:gridCol w:w="1203"/>
        <w:gridCol w:w="17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RED RIVER BANCSHARES,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Julia E. Callis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Julia E. Callis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Executive Vice President, General Counsel, and </w:t>
              <w:br/>
              <w:t>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3295</Characters>
  <CharactersWithSpaces>3829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