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2216785</wp:posOffset>
            </wp:positionH>
            <wp:positionV relativeFrom="paragraph">
              <wp:posOffset>79375</wp:posOffset>
            </wp:positionV>
            <wp:extent cx="270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2216785</wp:posOffset>
            </wp:positionH>
            <wp:positionV relativeFrom="paragraph">
              <wp:posOffset>133350</wp:posOffset>
            </wp:positionV>
            <wp:extent cx="27000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27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03" w:lineRule="exact"/>
        <w:rPr>
          <w:sz w:val="24"/>
          <w:szCs w:val="24"/>
          <w:color w:val="auto"/>
        </w:rPr>
      </w:pPr>
    </w:p>
    <w:p>
      <w:pPr>
        <w:ind w:left="2120" w:hanging="434"/>
        <w:spacing w:after="0"/>
        <w:tabs>
          <w:tab w:leader="none" w:pos="2120" w:val="left"/>
        </w:tabs>
        <w:numPr>
          <w:ilvl w:val="0"/>
          <w:numId w:val="1"/>
        </w:numPr>
        <w:rPr>
          <w:rFonts w:ascii="MS PGothic" w:cs="MS PGothic" w:eastAsia="MS PGothic" w:hAnsi="MS PGothic"/>
          <w:sz w:val="32"/>
          <w:szCs w:val="32"/>
          <w:color w:val="auto"/>
          <w:vertAlign w:val="superscript"/>
        </w:rPr>
      </w:pPr>
      <w:r>
        <w:rPr>
          <w:rFonts w:ascii="Arial" w:cs="Arial" w:eastAsia="Arial" w:hAnsi="Arial"/>
          <w:sz w:val="18"/>
          <w:szCs w:val="18"/>
          <w:b w:val="1"/>
          <w:bCs w:val="1"/>
          <w:color w:val="auto"/>
        </w:rPr>
        <w:t>Quarterly report pursuant to Section 13 or 15(d) of the Securities Exchange Act of 1934</w:t>
      </w:r>
    </w:p>
    <w:p>
      <w:pPr>
        <w:spacing w:after="0" w:line="138" w:lineRule="exact"/>
        <w:rPr>
          <w:rFonts w:ascii="MS PGothic" w:cs="MS PGothic" w:eastAsia="MS PGothic" w:hAnsi="MS PGothic"/>
          <w:sz w:val="32"/>
          <w:szCs w:val="32"/>
          <w:color w:val="auto"/>
          <w:vertAlign w:val="superscript"/>
        </w:rPr>
      </w:pPr>
    </w:p>
    <w:p>
      <w:pPr>
        <w:ind w:left="3820"/>
        <w:spacing w:after="0"/>
        <w:rPr>
          <w:rFonts w:ascii="MS PGothic" w:cs="MS PGothic" w:eastAsia="MS PGothic" w:hAnsi="MS PGothic"/>
          <w:sz w:val="32"/>
          <w:szCs w:val="32"/>
          <w:color w:val="auto"/>
          <w:vertAlign w:val="superscript"/>
        </w:rPr>
      </w:pPr>
      <w:r>
        <w:rPr>
          <w:rFonts w:ascii="Arial" w:cs="Arial" w:eastAsia="Arial" w:hAnsi="Arial"/>
          <w:sz w:val="16"/>
          <w:szCs w:val="16"/>
          <w:b w:val="1"/>
          <w:bCs w:val="1"/>
          <w:color w:val="auto"/>
        </w:rPr>
        <w:t>For the quarterly period ended: March 31, 2026</w:t>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365" w:lineRule="exact"/>
        <w:rPr>
          <w:sz w:val="24"/>
          <w:szCs w:val="24"/>
          <w:color w:val="auto"/>
        </w:rPr>
      </w:pPr>
    </w:p>
    <w:p>
      <w:pPr>
        <w:ind w:left="2080" w:hanging="304"/>
        <w:spacing w:after="0"/>
        <w:tabs>
          <w:tab w:leader="none" w:pos="2080" w:val="left"/>
        </w:tabs>
        <w:numPr>
          <w:ilvl w:val="0"/>
          <w:numId w:val="2"/>
        </w:numPr>
        <w:rPr>
          <w:rFonts w:ascii="MS PGothic" w:cs="MS PGothic" w:eastAsia="MS PGothic" w:hAnsi="MS PGothic"/>
          <w:sz w:val="16"/>
          <w:szCs w:val="16"/>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8" w:lineRule="exact"/>
        <w:rPr>
          <w:sz w:val="24"/>
          <w:szCs w:val="24"/>
          <w:color w:val="auto"/>
        </w:rPr>
      </w:pPr>
    </w:p>
    <w:p>
      <w:pPr>
        <w:ind w:left="3440"/>
        <w:spacing w:after="0"/>
        <w:tabs>
          <w:tab w:leader="none" w:pos="66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3659505</wp:posOffset>
            </wp:positionH>
            <wp:positionV relativeFrom="paragraph">
              <wp:posOffset>-4445</wp:posOffset>
            </wp:positionV>
            <wp:extent cx="1297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001-38888</w:t>
      </w:r>
    </w:p>
    <w:p>
      <w:pPr>
        <w:spacing w:after="0" w:line="13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Red River Bancshares,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2216785</wp:posOffset>
            </wp:positionH>
            <wp:positionV relativeFrom="paragraph">
              <wp:posOffset>-174625</wp:posOffset>
            </wp:positionV>
            <wp:extent cx="270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2216785</wp:posOffset>
            </wp:positionH>
            <wp:positionV relativeFrom="paragraph">
              <wp:posOffset>18415</wp:posOffset>
            </wp:positionV>
            <wp:extent cx="270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43" w:lineRule="exact"/>
        <w:rPr>
          <w:sz w:val="24"/>
          <w:szCs w:val="24"/>
          <w:color w:val="auto"/>
        </w:rPr>
      </w:pPr>
    </w:p>
    <w:tbl>
      <w:tblPr>
        <w:tblLayout w:type="fixed"/>
        <w:tblInd w:w="520" w:type="dxa"/>
        <w:tblCellMar>
          <w:top w:w="0" w:type="dxa"/>
          <w:left w:w="0" w:type="dxa"/>
          <w:bottom w:w="0" w:type="dxa"/>
          <w:right w:w="0" w:type="dxa"/>
        </w:tblCellMar>
      </w:tblPr>
      <w:tr>
        <w:trPr>
          <w:trHeight w:val="221"/>
        </w:trPr>
        <w:tc>
          <w:tcPr>
            <w:tcW w:w="5860" w:type="dxa"/>
            <w:vAlign w:val="bottom"/>
            <w:gridSpan w:val="3"/>
          </w:tcPr>
          <w:p>
            <w:pPr>
              <w:jc w:val="center"/>
              <w:ind w:right="1259"/>
              <w:spacing w:after="0"/>
              <w:rPr>
                <w:sz w:val="20"/>
                <w:szCs w:val="20"/>
                <w:color w:val="auto"/>
              </w:rPr>
            </w:pPr>
            <w:r>
              <w:rPr>
                <w:rFonts w:ascii="Arial" w:cs="Arial" w:eastAsia="Arial" w:hAnsi="Arial"/>
                <w:sz w:val="16"/>
                <w:szCs w:val="16"/>
                <w:b w:val="1"/>
                <w:bCs w:val="1"/>
                <w:color w:val="auto"/>
              </w:rPr>
              <w:t>Louisiana</w:t>
            </w:r>
          </w:p>
        </w:tc>
        <w:tc>
          <w:tcPr>
            <w:tcW w:w="4100" w:type="dxa"/>
            <w:vAlign w:val="bottom"/>
            <w:gridSpan w:val="2"/>
          </w:tcPr>
          <w:p>
            <w:pPr>
              <w:jc w:val="right"/>
              <w:ind w:right="1528"/>
              <w:spacing w:after="0"/>
              <w:rPr>
                <w:sz w:val="20"/>
                <w:szCs w:val="20"/>
                <w:color w:val="auto"/>
              </w:rPr>
            </w:pPr>
            <w:r>
              <w:rPr>
                <w:rFonts w:ascii="Arial" w:cs="Arial" w:eastAsia="Arial" w:hAnsi="Arial"/>
                <w:sz w:val="16"/>
                <w:szCs w:val="16"/>
                <w:b w:val="1"/>
                <w:bCs w:val="1"/>
                <w:color w:val="auto"/>
              </w:rPr>
              <w:t>72-1412058</w:t>
            </w:r>
          </w:p>
        </w:tc>
      </w:tr>
      <w:tr>
        <w:trPr>
          <w:trHeight w:val="190"/>
        </w:trPr>
        <w:tc>
          <w:tcPr>
            <w:tcW w:w="5860" w:type="dxa"/>
            <w:vAlign w:val="bottom"/>
            <w:gridSpan w:val="3"/>
          </w:tcPr>
          <w:p>
            <w:pPr>
              <w:jc w:val="center"/>
              <w:ind w:right="1239"/>
              <w:spacing w:after="0"/>
              <w:rPr>
                <w:sz w:val="20"/>
                <w:szCs w:val="20"/>
                <w:color w:val="auto"/>
              </w:rPr>
            </w:pPr>
            <w:r>
              <w:rPr>
                <w:rFonts w:ascii="Arial" w:cs="Arial" w:eastAsia="Arial" w:hAnsi="Arial"/>
                <w:sz w:val="14"/>
                <w:szCs w:val="14"/>
                <w:color w:val="auto"/>
              </w:rPr>
              <w:t>(State or Other Jurisdiction of Incorporation or Organization)</w:t>
            </w:r>
          </w:p>
        </w:tc>
        <w:tc>
          <w:tcPr>
            <w:tcW w:w="4100" w:type="dxa"/>
            <w:vAlign w:val="bottom"/>
            <w:gridSpan w:val="2"/>
          </w:tcPr>
          <w:p>
            <w:pPr>
              <w:jc w:val="center"/>
              <w:spacing w:after="0"/>
              <w:rPr>
                <w:sz w:val="20"/>
                <w:szCs w:val="20"/>
                <w:color w:val="auto"/>
              </w:rPr>
            </w:pPr>
            <w:r>
              <w:rPr>
                <w:rFonts w:ascii="Arial" w:cs="Arial" w:eastAsia="Arial" w:hAnsi="Arial"/>
                <w:sz w:val="14"/>
                <w:szCs w:val="14"/>
                <w:color w:val="auto"/>
              </w:rPr>
              <w:t>(I.R.S. Employer Identification Number)</w:t>
            </w:r>
          </w:p>
        </w:tc>
      </w:tr>
      <w:tr>
        <w:trPr>
          <w:trHeight w:val="336"/>
        </w:trPr>
        <w:tc>
          <w:tcPr>
            <w:tcW w:w="5860" w:type="dxa"/>
            <w:vAlign w:val="bottom"/>
            <w:gridSpan w:val="3"/>
          </w:tcPr>
          <w:p>
            <w:pPr>
              <w:jc w:val="center"/>
              <w:ind w:right="1219"/>
              <w:spacing w:after="0"/>
              <w:rPr>
                <w:sz w:val="20"/>
                <w:szCs w:val="20"/>
                <w:color w:val="auto"/>
              </w:rPr>
            </w:pPr>
            <w:r>
              <w:rPr>
                <w:rFonts w:ascii="Arial" w:cs="Arial" w:eastAsia="Arial" w:hAnsi="Arial"/>
                <w:sz w:val="16"/>
                <w:szCs w:val="16"/>
                <w:b w:val="1"/>
                <w:bCs w:val="1"/>
                <w:color w:val="auto"/>
              </w:rPr>
              <w:t>1412 Centre Court Drive, Suite 301, Alexandria, Louisiana</w:t>
            </w:r>
          </w:p>
        </w:tc>
        <w:tc>
          <w:tcPr>
            <w:tcW w:w="4100" w:type="dxa"/>
            <w:vAlign w:val="bottom"/>
            <w:gridSpan w:val="2"/>
          </w:tcPr>
          <w:p>
            <w:pPr>
              <w:jc w:val="right"/>
              <w:ind w:right="1748"/>
              <w:spacing w:after="0"/>
              <w:rPr>
                <w:sz w:val="20"/>
                <w:szCs w:val="20"/>
                <w:color w:val="auto"/>
              </w:rPr>
            </w:pPr>
            <w:r>
              <w:rPr>
                <w:rFonts w:ascii="Arial" w:cs="Arial" w:eastAsia="Arial" w:hAnsi="Arial"/>
                <w:sz w:val="14"/>
                <w:szCs w:val="14"/>
                <w:b w:val="1"/>
                <w:bCs w:val="1"/>
                <w:color w:val="auto"/>
              </w:rPr>
              <w:t>71301</w:t>
            </w:r>
          </w:p>
        </w:tc>
      </w:tr>
      <w:tr>
        <w:trPr>
          <w:trHeight w:val="190"/>
        </w:trPr>
        <w:tc>
          <w:tcPr>
            <w:tcW w:w="5860" w:type="dxa"/>
            <w:vAlign w:val="bottom"/>
            <w:gridSpan w:val="3"/>
          </w:tcPr>
          <w:p>
            <w:pPr>
              <w:jc w:val="center"/>
              <w:ind w:right="1219"/>
              <w:spacing w:after="0"/>
              <w:rPr>
                <w:sz w:val="20"/>
                <w:szCs w:val="20"/>
                <w:color w:val="auto"/>
              </w:rPr>
            </w:pPr>
            <w:r>
              <w:rPr>
                <w:rFonts w:ascii="Arial" w:cs="Arial" w:eastAsia="Arial" w:hAnsi="Arial"/>
                <w:sz w:val="14"/>
                <w:szCs w:val="14"/>
                <w:color w:val="auto"/>
              </w:rPr>
              <w:t>(Address of Principal Executive Offices)</w:t>
            </w:r>
          </w:p>
        </w:tc>
        <w:tc>
          <w:tcPr>
            <w:tcW w:w="1360" w:type="dxa"/>
            <w:vAlign w:val="bottom"/>
          </w:tcPr>
          <w:p>
            <w:pPr>
              <w:spacing w:after="0"/>
              <w:rPr>
                <w:sz w:val="16"/>
                <w:szCs w:val="16"/>
                <w:color w:val="auto"/>
              </w:rPr>
            </w:pPr>
          </w:p>
        </w:tc>
        <w:tc>
          <w:tcPr>
            <w:tcW w:w="2740" w:type="dxa"/>
            <w:vAlign w:val="bottom"/>
          </w:tcPr>
          <w:p>
            <w:pPr>
              <w:jc w:val="center"/>
              <w:ind w:right="1228"/>
              <w:spacing w:after="0"/>
              <w:rPr>
                <w:sz w:val="20"/>
                <w:szCs w:val="20"/>
                <w:color w:val="auto"/>
              </w:rPr>
            </w:pPr>
            <w:r>
              <w:rPr>
                <w:rFonts w:ascii="Arial" w:cs="Arial" w:eastAsia="Arial" w:hAnsi="Arial"/>
                <w:sz w:val="14"/>
                <w:szCs w:val="14"/>
                <w:color w:val="auto"/>
              </w:rPr>
              <w:t>(Zip Code)</w:t>
            </w:r>
          </w:p>
        </w:tc>
      </w:tr>
      <w:tr>
        <w:trPr>
          <w:trHeight w:val="554"/>
        </w:trPr>
        <w:tc>
          <w:tcPr>
            <w:tcW w:w="2380" w:type="dxa"/>
            <w:vAlign w:val="bottom"/>
          </w:tcPr>
          <w:p>
            <w:pPr>
              <w:spacing w:after="0"/>
              <w:rPr>
                <w:sz w:val="24"/>
                <w:szCs w:val="24"/>
                <w:color w:val="auto"/>
              </w:rPr>
            </w:pPr>
          </w:p>
        </w:tc>
        <w:tc>
          <w:tcPr>
            <w:tcW w:w="7580" w:type="dxa"/>
            <w:vAlign w:val="bottom"/>
            <w:gridSpan w:val="4"/>
          </w:tcPr>
          <w:p>
            <w:pPr>
              <w:jc w:val="center"/>
              <w:ind w:right="2068"/>
              <w:spacing w:after="0"/>
              <w:rPr>
                <w:sz w:val="20"/>
                <w:szCs w:val="20"/>
                <w:color w:val="auto"/>
              </w:rPr>
            </w:pPr>
            <w:r>
              <w:rPr>
                <w:rFonts w:ascii="Arial" w:cs="Arial" w:eastAsia="Arial" w:hAnsi="Arial"/>
                <w:sz w:val="16"/>
                <w:szCs w:val="16"/>
                <w:b w:val="1"/>
                <w:bCs w:val="1"/>
                <w:color w:val="auto"/>
              </w:rPr>
              <w:t>Registrant’s telephone number, including area code: (318) 561-4000</w:t>
            </w:r>
          </w:p>
        </w:tc>
      </w:tr>
      <w:tr>
        <w:trPr>
          <w:trHeight w:val="62"/>
        </w:trPr>
        <w:tc>
          <w:tcPr>
            <w:tcW w:w="2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40" w:type="dxa"/>
            <w:vAlign w:val="bottom"/>
            <w:tcBorders>
              <w:bottom w:val="single" w:sz="8" w:color="auto"/>
            </w:tcBorders>
            <w:gridSpan w:val="2"/>
          </w:tcPr>
          <w:p>
            <w:pPr>
              <w:spacing w:after="0"/>
              <w:rPr>
                <w:sz w:val="5"/>
                <w:szCs w:val="5"/>
                <w:color w:val="auto"/>
              </w:rPr>
            </w:pPr>
          </w:p>
        </w:tc>
        <w:tc>
          <w:tcPr>
            <w:tcW w:w="2740" w:type="dxa"/>
            <w:vAlign w:val="bottom"/>
          </w:tcPr>
          <w:p>
            <w:pPr>
              <w:spacing w:after="0"/>
              <w:rPr>
                <w:sz w:val="5"/>
                <w:szCs w:val="5"/>
                <w:color w:val="auto"/>
              </w:rPr>
            </w:pPr>
          </w:p>
        </w:tc>
      </w:tr>
      <w:tr>
        <w:trPr>
          <w:trHeight w:val="580"/>
        </w:trPr>
        <w:tc>
          <w:tcPr>
            <w:tcW w:w="2380" w:type="dxa"/>
            <w:vAlign w:val="bottom"/>
          </w:tcPr>
          <w:p>
            <w:pPr>
              <w:spacing w:after="0"/>
              <w:rPr>
                <w:sz w:val="24"/>
                <w:szCs w:val="24"/>
                <w:color w:val="auto"/>
              </w:rPr>
            </w:pPr>
          </w:p>
        </w:tc>
        <w:tc>
          <w:tcPr>
            <w:tcW w:w="7580" w:type="dxa"/>
            <w:vAlign w:val="bottom"/>
            <w:gridSpan w:val="4"/>
          </w:tcPr>
          <w:p>
            <w:pPr>
              <w:jc w:val="center"/>
              <w:ind w:right="2068"/>
              <w:spacing w:after="0"/>
              <w:rPr>
                <w:sz w:val="20"/>
                <w:szCs w:val="20"/>
                <w:color w:val="auto"/>
              </w:rPr>
            </w:pPr>
            <w:r>
              <w:rPr>
                <w:rFonts w:ascii="Arial" w:cs="Arial" w:eastAsia="Arial" w:hAnsi="Arial"/>
                <w:sz w:val="16"/>
                <w:szCs w:val="16"/>
                <w:b w:val="1"/>
                <w:bCs w:val="1"/>
                <w:color w:val="auto"/>
              </w:rPr>
              <w:t>Securities registered pursuant to Section 12(b) of the Act:</w:t>
            </w:r>
          </w:p>
        </w:tc>
      </w:tr>
      <w:tr>
        <w:trPr>
          <w:trHeight w:val="316"/>
        </w:trPr>
        <w:tc>
          <w:tcPr>
            <w:tcW w:w="2380" w:type="dxa"/>
            <w:vAlign w:val="bottom"/>
          </w:tcPr>
          <w:p>
            <w:pPr>
              <w:jc w:val="center"/>
              <w:ind w:right="82"/>
              <w:spacing w:after="0"/>
              <w:rPr>
                <w:sz w:val="20"/>
                <w:szCs w:val="20"/>
                <w:color w:val="auto"/>
              </w:rPr>
            </w:pPr>
            <w:r>
              <w:rPr>
                <w:rFonts w:ascii="Arial" w:cs="Arial" w:eastAsia="Arial" w:hAnsi="Arial"/>
                <w:sz w:val="16"/>
                <w:szCs w:val="16"/>
                <w:color w:val="auto"/>
              </w:rPr>
              <w:t>Title of each class</w:t>
            </w:r>
          </w:p>
        </w:tc>
        <w:tc>
          <w:tcPr>
            <w:tcW w:w="600" w:type="dxa"/>
            <w:vAlign w:val="bottom"/>
          </w:tcPr>
          <w:p>
            <w:pPr>
              <w:spacing w:after="0"/>
              <w:rPr>
                <w:sz w:val="24"/>
                <w:szCs w:val="24"/>
                <w:color w:val="auto"/>
              </w:rPr>
            </w:pPr>
          </w:p>
        </w:tc>
        <w:tc>
          <w:tcPr>
            <w:tcW w:w="2880" w:type="dxa"/>
            <w:vAlign w:val="bottom"/>
          </w:tcPr>
          <w:p>
            <w:pPr>
              <w:jc w:val="center"/>
              <w:spacing w:after="0"/>
              <w:rPr>
                <w:sz w:val="20"/>
                <w:szCs w:val="20"/>
                <w:color w:val="auto"/>
              </w:rPr>
            </w:pPr>
            <w:r>
              <w:rPr>
                <w:rFonts w:ascii="Arial" w:cs="Arial" w:eastAsia="Arial" w:hAnsi="Arial"/>
                <w:sz w:val="16"/>
                <w:szCs w:val="16"/>
                <w:color w:val="auto"/>
              </w:rPr>
              <w:t>Trading Symbol(s)</w:t>
            </w:r>
          </w:p>
        </w:tc>
        <w:tc>
          <w:tcPr>
            <w:tcW w:w="4100" w:type="dxa"/>
            <w:vAlign w:val="bottom"/>
            <w:gridSpan w:val="2"/>
          </w:tcPr>
          <w:p>
            <w:pPr>
              <w:jc w:val="center"/>
              <w:ind w:left="823"/>
              <w:spacing w:after="0"/>
              <w:rPr>
                <w:sz w:val="20"/>
                <w:szCs w:val="20"/>
                <w:color w:val="auto"/>
              </w:rPr>
            </w:pPr>
            <w:r>
              <w:rPr>
                <w:rFonts w:ascii="Arial" w:cs="Arial" w:eastAsia="Arial" w:hAnsi="Arial"/>
                <w:sz w:val="16"/>
                <w:szCs w:val="16"/>
                <w:color w:val="auto"/>
              </w:rPr>
              <w:t>Name of each exchange on which registered</w:t>
            </w:r>
          </w:p>
        </w:tc>
      </w:tr>
      <w:tr>
        <w:trPr>
          <w:trHeight w:val="224"/>
        </w:trPr>
        <w:tc>
          <w:tcPr>
            <w:tcW w:w="2380" w:type="dxa"/>
            <w:vAlign w:val="bottom"/>
          </w:tcPr>
          <w:p>
            <w:pPr>
              <w:jc w:val="center"/>
              <w:ind w:right="62"/>
              <w:spacing w:after="0"/>
              <w:rPr>
                <w:sz w:val="20"/>
                <w:szCs w:val="20"/>
                <w:color w:val="auto"/>
              </w:rPr>
            </w:pPr>
            <w:r>
              <w:rPr>
                <w:rFonts w:ascii="Arial" w:cs="Arial" w:eastAsia="Arial" w:hAnsi="Arial"/>
                <w:sz w:val="16"/>
                <w:szCs w:val="16"/>
                <w:b w:val="1"/>
                <w:bCs w:val="1"/>
                <w:color w:val="auto"/>
              </w:rPr>
              <w:t>Common Stock, no par value</w:t>
            </w:r>
          </w:p>
        </w:tc>
        <w:tc>
          <w:tcPr>
            <w:tcW w:w="600" w:type="dxa"/>
            <w:vAlign w:val="bottom"/>
          </w:tcPr>
          <w:p>
            <w:pPr>
              <w:spacing w:after="0"/>
              <w:rPr>
                <w:sz w:val="19"/>
                <w:szCs w:val="19"/>
                <w:color w:val="auto"/>
              </w:rPr>
            </w:pPr>
          </w:p>
        </w:tc>
        <w:tc>
          <w:tcPr>
            <w:tcW w:w="2880" w:type="dxa"/>
            <w:vAlign w:val="bottom"/>
          </w:tcPr>
          <w:p>
            <w:pPr>
              <w:jc w:val="center"/>
              <w:spacing w:after="0"/>
              <w:rPr>
                <w:sz w:val="20"/>
                <w:szCs w:val="20"/>
                <w:color w:val="auto"/>
              </w:rPr>
            </w:pPr>
            <w:r>
              <w:rPr>
                <w:rFonts w:ascii="Arial" w:cs="Arial" w:eastAsia="Arial" w:hAnsi="Arial"/>
                <w:sz w:val="16"/>
                <w:szCs w:val="16"/>
                <w:b w:val="1"/>
                <w:bCs w:val="1"/>
                <w:color w:val="auto"/>
              </w:rPr>
              <w:t>RRBI</w:t>
            </w:r>
          </w:p>
        </w:tc>
        <w:tc>
          <w:tcPr>
            <w:tcW w:w="4100" w:type="dxa"/>
            <w:vAlign w:val="bottom"/>
            <w:gridSpan w:val="2"/>
          </w:tcPr>
          <w:p>
            <w:pPr>
              <w:jc w:val="center"/>
              <w:ind w:left="843"/>
              <w:spacing w:after="0"/>
              <w:rPr>
                <w:sz w:val="20"/>
                <w:szCs w:val="20"/>
                <w:color w:val="auto"/>
              </w:rPr>
            </w:pPr>
            <w:r>
              <w:rPr>
                <w:rFonts w:ascii="Arial" w:cs="Arial" w:eastAsia="Arial" w:hAnsi="Arial"/>
                <w:sz w:val="16"/>
                <w:szCs w:val="16"/>
                <w:b w:val="1"/>
                <w:bCs w:val="1"/>
                <w:color w:val="auto"/>
              </w:rPr>
              <w:t>The Nasdaq Stock Market, LLC</w:t>
            </w:r>
          </w:p>
        </w:tc>
      </w:tr>
    </w:tbl>
    <w:p>
      <w:pPr>
        <w:spacing w:after="0" w:line="182" w:lineRule="exact"/>
        <w:rPr>
          <w:sz w:val="24"/>
          <w:szCs w:val="24"/>
          <w:color w:val="auto"/>
        </w:rPr>
      </w:pPr>
    </w:p>
    <w:p>
      <w:pPr>
        <w:ind w:right="440"/>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right="46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840" w:type="dxa"/>
            <w:vAlign w:val="bottom"/>
            <w:vMerge w:val="restart"/>
          </w:tcPr>
          <w:p>
            <w:pPr>
              <w:spacing w:after="0"/>
              <w:rPr>
                <w:sz w:val="20"/>
                <w:szCs w:val="20"/>
                <w:color w:val="auto"/>
              </w:rPr>
            </w:pPr>
            <w:r>
              <w:rPr>
                <w:rFonts w:ascii="Arial" w:cs="Arial" w:eastAsia="Arial" w:hAnsi="Arial"/>
                <w:sz w:val="16"/>
                <w:szCs w:val="16"/>
                <w:color w:val="auto"/>
              </w:rPr>
              <w:t>Large accelerated filer</w:t>
            </w:r>
          </w:p>
        </w:tc>
        <w:tc>
          <w:tcPr>
            <w:tcW w:w="1640" w:type="dxa"/>
            <w:vAlign w:val="bottom"/>
            <w:vMerge w:val="restart"/>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3460" w:type="dxa"/>
            <w:vAlign w:val="bottom"/>
            <w:vMerge w:val="restart"/>
          </w:tcPr>
          <w:p>
            <w:pPr>
              <w:ind w:left="128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08"/>
        </w:trPr>
        <w:tc>
          <w:tcPr>
            <w:tcW w:w="184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3460" w:type="dxa"/>
            <w:vAlign w:val="bottom"/>
            <w:vMerge w:val="continue"/>
          </w:tcPr>
          <w:p>
            <w:pPr>
              <w:spacing w:after="0"/>
              <w:rPr>
                <w:sz w:val="9"/>
                <w:szCs w:val="9"/>
                <w:color w:val="auto"/>
              </w:rPr>
            </w:pPr>
          </w:p>
        </w:tc>
        <w:tc>
          <w:tcPr>
            <w:tcW w:w="380" w:type="dxa"/>
            <w:vAlign w:val="bottom"/>
            <w:vMerge w:val="restart"/>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16"/>
        </w:trPr>
        <w:tc>
          <w:tcPr>
            <w:tcW w:w="1840" w:type="dxa"/>
            <w:vAlign w:val="bottom"/>
            <w:vMerge w:val="restart"/>
          </w:tcPr>
          <w:p>
            <w:pPr>
              <w:spacing w:after="0"/>
              <w:rPr>
                <w:sz w:val="20"/>
                <w:szCs w:val="20"/>
                <w:color w:val="auto"/>
              </w:rPr>
            </w:pPr>
            <w:r>
              <w:rPr>
                <w:rFonts w:ascii="Arial" w:cs="Arial" w:eastAsia="Arial" w:hAnsi="Arial"/>
                <w:sz w:val="16"/>
                <w:szCs w:val="16"/>
                <w:color w:val="auto"/>
              </w:rPr>
              <w:t>Non-accelerated filer</w:t>
            </w:r>
          </w:p>
        </w:tc>
        <w:tc>
          <w:tcPr>
            <w:tcW w:w="1640" w:type="dxa"/>
            <w:vAlign w:val="bottom"/>
            <w:vMerge w:val="restart"/>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3460" w:type="dxa"/>
            <w:vAlign w:val="bottom"/>
            <w:vMerge w:val="restart"/>
          </w:tcPr>
          <w:p>
            <w:pPr>
              <w:ind w:left="1280"/>
              <w:spacing w:after="0"/>
              <w:rPr>
                <w:sz w:val="20"/>
                <w:szCs w:val="20"/>
                <w:color w:val="auto"/>
              </w:rPr>
            </w:pPr>
            <w:r>
              <w:rPr>
                <w:rFonts w:ascii="Arial" w:cs="Arial" w:eastAsia="Arial" w:hAnsi="Arial"/>
                <w:sz w:val="16"/>
                <w:szCs w:val="16"/>
                <w:color w:val="auto"/>
              </w:rPr>
              <w:t>Smaller reporting company</w:t>
            </w:r>
          </w:p>
        </w:tc>
        <w:tc>
          <w:tcPr>
            <w:tcW w:w="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84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3460" w:type="dxa"/>
            <w:vAlign w:val="bottom"/>
            <w:vMerge w:val="continue"/>
          </w:tcPr>
          <w:p>
            <w:pPr>
              <w:spacing w:after="0"/>
              <w:rPr>
                <w:sz w:val="9"/>
                <w:szCs w:val="9"/>
                <w:color w:val="auto"/>
              </w:rPr>
            </w:pPr>
          </w:p>
        </w:tc>
        <w:tc>
          <w:tcPr>
            <w:tcW w:w="380" w:type="dxa"/>
            <w:vAlign w:val="bottom"/>
            <w:vMerge w:val="restart"/>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60" w:type="dxa"/>
            <w:vAlign w:val="bottom"/>
            <w:vMerge w:val="restart"/>
          </w:tcPr>
          <w:p>
            <w:pPr>
              <w:ind w:left="1280"/>
              <w:spacing w:after="0"/>
              <w:rPr>
                <w:sz w:val="20"/>
                <w:szCs w:val="20"/>
                <w:color w:val="auto"/>
              </w:rPr>
            </w:pPr>
            <w:r>
              <w:rPr>
                <w:rFonts w:ascii="Arial" w:cs="Arial" w:eastAsia="Arial" w:hAnsi="Arial"/>
                <w:sz w:val="16"/>
                <w:szCs w:val="16"/>
                <w:color w:val="auto"/>
              </w:rPr>
              <w:t>Emerging growth company</w:t>
            </w:r>
          </w:p>
        </w:tc>
        <w:tc>
          <w:tcPr>
            <w:tcW w:w="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8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46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25" w:lineRule="exact"/>
        <w:rPr>
          <w:sz w:val="24"/>
          <w:szCs w:val="24"/>
          <w:color w:val="auto"/>
        </w:rPr>
      </w:pPr>
    </w:p>
    <w:p>
      <w:pPr>
        <w:ind w:right="1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right="1820"/>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30, 2026, the registrant had 6,584,696 shares of common stock, no par value,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083" w:right="359" w:bottom="1440" w:gutter="0" w:footer="0" w:header="0"/>
        </w:sectPr>
      </w:pPr>
    </w:p>
    <w:bookmarkStart w:id="1" w:name="page2"/>
    <w:bookmarkEnd w:id="1"/>
    <w:p>
      <w:pPr>
        <w:jc w:val="center"/>
        <w:ind w:left="1100"/>
        <w:spacing w:after="0"/>
        <w:rPr>
          <w:sz w:val="20"/>
          <w:szCs w:val="20"/>
          <w:color w:val="auto"/>
        </w:rPr>
      </w:pPr>
      <w:r>
        <w:rPr>
          <w:rFonts w:ascii="Arial" w:cs="Arial" w:eastAsia="Arial" w:hAnsi="Arial"/>
          <w:sz w:val="16"/>
          <w:szCs w:val="16"/>
          <w:b w:val="1"/>
          <w:bCs w:val="1"/>
          <w:color w:val="auto"/>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Glossary of Terms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Cautionary Note Regarding Forward-Looking Statements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60" w:type="dxa"/>
            <w:vAlign w:val="bottom"/>
          </w:tcPr>
          <w:p>
            <w:pPr>
              <w:spacing w:after="0"/>
              <w:rPr>
                <w:sz w:val="20"/>
                <w:szCs w:val="20"/>
                <w:color w:val="auto"/>
              </w:rPr>
            </w:pPr>
            <w:r>
              <w:rPr>
                <w:rFonts w:ascii="Arial" w:cs="Arial" w:eastAsia="Arial" w:hAnsi="Arial"/>
                <w:sz w:val="16"/>
                <w:szCs w:val="16"/>
                <w:b w:val="1"/>
                <w:bCs w:val="1"/>
                <w:color w:val="auto"/>
              </w:rPr>
              <w:t>PART I</w:t>
            </w:r>
          </w:p>
        </w:tc>
        <w:tc>
          <w:tcPr>
            <w:tcW w:w="6380" w:type="dxa"/>
            <w:vAlign w:val="bottom"/>
            <w:gridSpan w:val="11"/>
          </w:tcPr>
          <w:p>
            <w:pPr>
              <w:spacing w:after="0"/>
              <w:rPr>
                <w:sz w:val="20"/>
                <w:szCs w:val="20"/>
                <w:color w:val="auto"/>
              </w:rPr>
            </w:pPr>
            <w:r>
              <w:rPr>
                <w:rFonts w:ascii="Arial" w:cs="Arial" w:eastAsia="Arial" w:hAnsi="Arial"/>
                <w:sz w:val="16"/>
                <w:szCs w:val="16"/>
                <w:b w:val="1"/>
                <w:bCs w:val="1"/>
                <w:color w:val="auto"/>
              </w:rPr>
              <w:t>Financial Information</w:t>
            </w:r>
          </w:p>
        </w:tc>
        <w:tc>
          <w:tcPr>
            <w:tcW w:w="0" w:type="dxa"/>
            <w:vAlign w:val="bottom"/>
          </w:tcPr>
          <w:p>
            <w:pPr>
              <w:spacing w:after="0"/>
              <w:rPr>
                <w:sz w:val="1"/>
                <w:szCs w:val="1"/>
                <w:color w:val="auto"/>
              </w:rPr>
            </w:pPr>
          </w:p>
        </w:tc>
      </w:tr>
      <w:tr>
        <w:trPr>
          <w:trHeight w:val="237"/>
        </w:trPr>
        <w:tc>
          <w:tcPr>
            <w:tcW w:w="1060" w:type="dxa"/>
            <w:vAlign w:val="bottom"/>
          </w:tcPr>
          <w:p>
            <w:pPr>
              <w:spacing w:after="0"/>
              <w:rPr>
                <w:sz w:val="20"/>
                <w:szCs w:val="20"/>
                <w:color w:val="auto"/>
              </w:rPr>
            </w:pPr>
            <w:r>
              <w:rPr>
                <w:rFonts w:ascii="Arial" w:cs="Arial" w:eastAsia="Arial" w:hAnsi="Arial"/>
                <w:sz w:val="16"/>
                <w:szCs w:val="16"/>
                <w:color w:val="auto"/>
              </w:rPr>
              <w:t>Item 1.</w:t>
            </w:r>
          </w:p>
        </w:tc>
        <w:tc>
          <w:tcPr>
            <w:tcW w:w="6380" w:type="dxa"/>
            <w:vAlign w:val="bottom"/>
            <w:gridSpan w:val="11"/>
          </w:tcPr>
          <w:p>
            <w:pPr>
              <w:spacing w:after="0"/>
              <w:rPr>
                <w:sz w:val="20"/>
                <w:szCs w:val="20"/>
                <w:color w:val="auto"/>
              </w:rPr>
            </w:pPr>
            <w:r>
              <w:rPr>
                <w:rFonts w:ascii="Arial" w:cs="Arial" w:eastAsia="Arial" w:hAnsi="Arial"/>
                <w:sz w:val="16"/>
                <w:szCs w:val="16"/>
                <w:color w:val="0000FF"/>
              </w:rPr>
              <w:t>Financial Statements (Unaudited)</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14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rPr>
              <w:t>Consolidated Balance Sheets</w:t>
            </w:r>
          </w:p>
        </w:tc>
        <w:tc>
          <w:tcPr>
            <w:tcW w:w="348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58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Consolidated Statements of Income</w:t>
            </w:r>
          </w:p>
        </w:tc>
        <w:tc>
          <w:tcPr>
            <w:tcW w:w="304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76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rPr>
              <w:t>Consolidated Statements of Comprehensive Income</w:t>
            </w:r>
          </w:p>
        </w:tc>
        <w:tc>
          <w:tcPr>
            <w:tcW w:w="186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38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rPr>
              <w:t>Consolidated Statements of Changes in Stockholders’ Equity</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20" w:type="dxa"/>
            <w:vAlign w:val="bottom"/>
            <w:gridSpan w:val="10"/>
          </w:tcPr>
          <w:p>
            <w:pPr>
              <w:spacing w:after="0"/>
              <w:rPr>
                <w:sz w:val="20"/>
                <w:szCs w:val="20"/>
                <w:color w:val="auto"/>
              </w:rPr>
            </w:pPr>
            <w:r>
              <w:rPr>
                <w:rFonts w:ascii="Arial" w:cs="Arial" w:eastAsia="Arial" w:hAnsi="Arial"/>
                <w:sz w:val="16"/>
                <w:szCs w:val="16"/>
                <w:color w:val="0000FF"/>
              </w:rPr>
              <w:t>Consolidated Statements of Cash Flows</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20" w:type="dxa"/>
            <w:vAlign w:val="bottom"/>
            <w:gridSpan w:val="10"/>
          </w:tcPr>
          <w:p>
            <w:pPr>
              <w:spacing w:after="0"/>
              <w:rPr>
                <w:sz w:val="20"/>
                <w:szCs w:val="20"/>
                <w:color w:val="auto"/>
              </w:rPr>
            </w:pPr>
            <w:r>
              <w:rPr>
                <w:rFonts w:ascii="Arial" w:cs="Arial" w:eastAsia="Arial" w:hAnsi="Arial"/>
                <w:sz w:val="16"/>
                <w:szCs w:val="16"/>
                <w:color w:val="0000FF"/>
              </w:rPr>
              <w:t>Notes to Unaudited Consolidated Financial Statements</w:t>
            </w:r>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rPr>
                <w:sz w:val="20"/>
                <w:szCs w:val="20"/>
                <w:color w:val="auto"/>
              </w:rPr>
            </w:pPr>
            <w:r>
              <w:rPr>
                <w:rFonts w:ascii="Arial" w:cs="Arial" w:eastAsia="Arial" w:hAnsi="Arial"/>
                <w:sz w:val="16"/>
                <w:szCs w:val="16"/>
                <w:color w:val="auto"/>
              </w:rPr>
              <w:t>Item 2.</w:t>
            </w:r>
          </w:p>
        </w:tc>
        <w:tc>
          <w:tcPr>
            <w:tcW w:w="76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vMerge w:val="continue"/>
          </w:tcPr>
          <w:p>
            <w:pPr>
              <w:spacing w:after="0"/>
              <w:rPr>
                <w:sz w:val="24"/>
                <w:szCs w:val="24"/>
                <w:color w:val="auto"/>
              </w:rPr>
            </w:pPr>
          </w:p>
        </w:tc>
        <w:tc>
          <w:tcPr>
            <w:tcW w:w="638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0" w:type="dxa"/>
            <w:vAlign w:val="bottom"/>
          </w:tcPr>
          <w:p>
            <w:pPr>
              <w:spacing w:after="0"/>
              <w:rPr>
                <w:sz w:val="1"/>
                <w:szCs w:val="1"/>
                <w:color w:val="auto"/>
              </w:rPr>
            </w:pPr>
          </w:p>
        </w:tc>
      </w:tr>
      <w:tr>
        <w:trPr>
          <w:trHeight w:val="264"/>
        </w:trPr>
        <w:tc>
          <w:tcPr>
            <w:tcW w:w="1060" w:type="dxa"/>
            <w:vAlign w:val="bottom"/>
          </w:tcPr>
          <w:p>
            <w:pPr>
              <w:spacing w:after="0"/>
              <w:rPr>
                <w:sz w:val="20"/>
                <w:szCs w:val="20"/>
                <w:color w:val="auto"/>
              </w:rPr>
            </w:pPr>
            <w:r>
              <w:rPr>
                <w:rFonts w:ascii="Arial" w:cs="Arial" w:eastAsia="Arial" w:hAnsi="Arial"/>
                <w:sz w:val="16"/>
                <w:szCs w:val="16"/>
                <w:color w:val="auto"/>
              </w:rPr>
              <w:t>Item 3.</w:t>
            </w:r>
          </w:p>
        </w:tc>
        <w:tc>
          <w:tcPr>
            <w:tcW w:w="424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214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6"/>
                <w:szCs w:val="16"/>
                <w:color w:val="auto"/>
              </w:rPr>
              <w:t>Item 4.</w:t>
            </w:r>
          </w:p>
        </w:tc>
        <w:tc>
          <w:tcPr>
            <w:tcW w:w="180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Controls and Procedures</w:t>
            </w:r>
          </w:p>
        </w:tc>
        <w:tc>
          <w:tcPr>
            <w:tcW w:w="458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60" w:type="dxa"/>
            <w:vAlign w:val="bottom"/>
          </w:tcPr>
          <w:p>
            <w:pPr>
              <w:spacing w:after="0"/>
              <w:rPr>
                <w:sz w:val="20"/>
                <w:szCs w:val="20"/>
                <w:color w:val="auto"/>
              </w:rPr>
            </w:pPr>
            <w:r>
              <w:rPr>
                <w:rFonts w:ascii="Arial" w:cs="Arial" w:eastAsia="Arial" w:hAnsi="Arial"/>
                <w:sz w:val="16"/>
                <w:szCs w:val="16"/>
                <w:b w:val="1"/>
                <w:bCs w:val="1"/>
                <w:color w:val="auto"/>
              </w:rPr>
              <w:t>PART II</w:t>
            </w:r>
          </w:p>
        </w:tc>
        <w:tc>
          <w:tcPr>
            <w:tcW w:w="4360" w:type="dxa"/>
            <w:vAlign w:val="bottom"/>
            <w:gridSpan w:val="8"/>
          </w:tcPr>
          <w:p>
            <w:pPr>
              <w:spacing w:after="0"/>
              <w:rPr>
                <w:sz w:val="20"/>
                <w:szCs w:val="20"/>
                <w:color w:val="auto"/>
              </w:rPr>
            </w:pPr>
            <w:r>
              <w:rPr>
                <w:rFonts w:ascii="Arial" w:cs="Arial" w:eastAsia="Arial" w:hAnsi="Arial"/>
                <w:sz w:val="16"/>
                <w:szCs w:val="16"/>
                <w:b w:val="1"/>
                <w:bCs w:val="1"/>
                <w:color w:val="auto"/>
              </w:rPr>
              <w:t>Other Information</w:t>
            </w:r>
          </w:p>
        </w:tc>
      </w:tr>
      <w:tr>
        <w:trPr>
          <w:trHeight w:val="237"/>
        </w:trPr>
        <w:tc>
          <w:tcPr>
            <w:tcW w:w="1060" w:type="dxa"/>
            <w:vAlign w:val="bottom"/>
          </w:tcPr>
          <w:p>
            <w:pPr>
              <w:spacing w:after="0"/>
              <w:rPr>
                <w:sz w:val="20"/>
                <w:szCs w:val="20"/>
                <w:color w:val="auto"/>
              </w:rPr>
            </w:pPr>
            <w:r>
              <w:rPr>
                <w:rFonts w:ascii="Arial" w:cs="Arial" w:eastAsia="Arial" w:hAnsi="Arial"/>
                <w:sz w:val="16"/>
                <w:szCs w:val="16"/>
                <w:color w:val="auto"/>
              </w:rPr>
              <w:t>Item 1.</w:t>
            </w:r>
          </w:p>
        </w:tc>
        <w:tc>
          <w:tcPr>
            <w:tcW w:w="4360" w:type="dxa"/>
            <w:vAlign w:val="bottom"/>
            <w:gridSpan w:val="8"/>
          </w:tcPr>
          <w:p>
            <w:pPr>
              <w:spacing w:after="0"/>
              <w:rPr>
                <w:sz w:val="20"/>
                <w:szCs w:val="20"/>
                <w:color w:val="auto"/>
              </w:rPr>
            </w:pPr>
            <w:r>
              <w:rPr>
                <w:rFonts w:ascii="Arial" w:cs="Arial" w:eastAsia="Arial" w:hAnsi="Arial"/>
                <w:sz w:val="16"/>
                <w:szCs w:val="16"/>
                <w:color w:val="0000FF"/>
              </w:rPr>
              <w:t>Legal Proceedings</w:t>
            </w:r>
          </w:p>
        </w:tc>
      </w:tr>
      <w:tr>
        <w:trPr>
          <w:trHeight w:val="264"/>
        </w:trPr>
        <w:tc>
          <w:tcPr>
            <w:tcW w:w="1060" w:type="dxa"/>
            <w:vAlign w:val="bottom"/>
          </w:tcPr>
          <w:p>
            <w:pPr>
              <w:spacing w:after="0"/>
              <w:rPr>
                <w:sz w:val="20"/>
                <w:szCs w:val="20"/>
                <w:color w:val="auto"/>
              </w:rPr>
            </w:pPr>
            <w:r>
              <w:rPr>
                <w:rFonts w:ascii="Arial" w:cs="Arial" w:eastAsia="Arial" w:hAnsi="Arial"/>
                <w:sz w:val="16"/>
                <w:szCs w:val="16"/>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6"/>
                <w:szCs w:val="16"/>
                <w:color w:val="0000FF"/>
                <w:w w:val="98"/>
              </w:rPr>
              <w:t>Risk Factors</w:t>
            </w:r>
          </w:p>
        </w:tc>
        <w:tc>
          <w:tcPr>
            <w:tcW w:w="440" w:type="dxa"/>
            <w:vAlign w:val="bottom"/>
            <w:tcBorders>
              <w:top w:val="single" w:sz="8" w:color="0000FF"/>
            </w:tcBorders>
            <w:gridSpan w:val="2"/>
          </w:tcPr>
          <w:p>
            <w:pPr>
              <w:spacing w:after="0"/>
              <w:rPr>
                <w:sz w:val="22"/>
                <w:szCs w:val="22"/>
                <w:color w:val="auto"/>
              </w:rPr>
            </w:pPr>
          </w:p>
        </w:tc>
        <w:tc>
          <w:tcPr>
            <w:tcW w:w="3020" w:type="dxa"/>
            <w:vAlign w:val="bottom"/>
            <w:gridSpan w:val="3"/>
          </w:tcPr>
          <w:p>
            <w:pPr>
              <w:spacing w:after="0"/>
              <w:rPr>
                <w:sz w:val="22"/>
                <w:szCs w:val="22"/>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6"/>
                <w:szCs w:val="16"/>
                <w:color w:val="auto"/>
              </w:rPr>
              <w:t>Item 2.</w:t>
            </w:r>
          </w:p>
        </w:tc>
        <w:tc>
          <w:tcPr>
            <w:tcW w:w="436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rPr>
              <w:t>Unregistered Sales of Equity Securities and Use of Proceeds</w:t>
            </w:r>
          </w:p>
        </w:tc>
      </w:tr>
      <w:tr>
        <w:trPr>
          <w:trHeight w:val="223"/>
        </w:trPr>
        <w:tc>
          <w:tcPr>
            <w:tcW w:w="1060" w:type="dxa"/>
            <w:vAlign w:val="bottom"/>
          </w:tcPr>
          <w:p>
            <w:pPr>
              <w:spacing w:after="0"/>
              <w:rPr>
                <w:sz w:val="20"/>
                <w:szCs w:val="20"/>
                <w:color w:val="auto"/>
              </w:rPr>
            </w:pPr>
            <w:r>
              <w:rPr>
                <w:rFonts w:ascii="Arial" w:cs="Arial" w:eastAsia="Arial" w:hAnsi="Arial"/>
                <w:sz w:val="16"/>
                <w:szCs w:val="16"/>
                <w:color w:val="auto"/>
              </w:rPr>
              <w:t>Item 3.</w:t>
            </w:r>
          </w:p>
        </w:tc>
        <w:tc>
          <w:tcPr>
            <w:tcW w:w="230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rPr>
              <w:t>Defaults Upon Senior Securities</w:t>
            </w:r>
          </w:p>
        </w:tc>
        <w:tc>
          <w:tcPr>
            <w:tcW w:w="2060" w:type="dxa"/>
            <w:vAlign w:val="bottom"/>
          </w:tcPr>
          <w:p>
            <w:pPr>
              <w:spacing w:after="0"/>
              <w:rPr>
                <w:sz w:val="19"/>
                <w:szCs w:val="19"/>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6"/>
                <w:szCs w:val="16"/>
                <w:color w:val="auto"/>
              </w:rPr>
              <w:t>Item 4.</w:t>
            </w:r>
          </w:p>
        </w:tc>
        <w:tc>
          <w:tcPr>
            <w:tcW w:w="174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rPr>
              <w:t>Mine Safety Disclosures</w:t>
            </w:r>
          </w:p>
        </w:tc>
        <w:tc>
          <w:tcPr>
            <w:tcW w:w="2620" w:type="dxa"/>
            <w:vAlign w:val="bottom"/>
            <w:gridSpan w:val="2"/>
          </w:tcPr>
          <w:p>
            <w:pPr>
              <w:spacing w:after="0"/>
              <w:rPr>
                <w:sz w:val="22"/>
                <w:szCs w:val="22"/>
                <w:color w:val="auto"/>
              </w:rPr>
            </w:pPr>
          </w:p>
        </w:tc>
      </w:tr>
      <w:tr>
        <w:trPr>
          <w:trHeight w:val="264"/>
        </w:trPr>
        <w:tc>
          <w:tcPr>
            <w:tcW w:w="1060" w:type="dxa"/>
            <w:vAlign w:val="bottom"/>
          </w:tcPr>
          <w:p>
            <w:pPr>
              <w:spacing w:after="0"/>
              <w:rPr>
                <w:sz w:val="20"/>
                <w:szCs w:val="20"/>
                <w:color w:val="auto"/>
              </w:rPr>
            </w:pPr>
            <w:r>
              <w:rPr>
                <w:rFonts w:ascii="Arial" w:cs="Arial" w:eastAsia="Arial" w:hAnsi="Arial"/>
                <w:sz w:val="16"/>
                <w:szCs w:val="16"/>
                <w:color w:val="auto"/>
              </w:rPr>
              <w:t>Item 5.</w:t>
            </w:r>
          </w:p>
        </w:tc>
        <w:tc>
          <w:tcPr>
            <w:tcW w:w="126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9"/>
              </w:rPr>
              <w:t>Other Information</w:t>
            </w:r>
          </w:p>
        </w:tc>
        <w:tc>
          <w:tcPr>
            <w:tcW w:w="3100" w:type="dxa"/>
            <w:vAlign w:val="bottom"/>
            <w:gridSpan w:val="4"/>
          </w:tcPr>
          <w:p>
            <w:pPr>
              <w:spacing w:after="0"/>
              <w:rPr>
                <w:sz w:val="22"/>
                <w:szCs w:val="22"/>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6"/>
                <w:szCs w:val="16"/>
                <w:color w:val="auto"/>
              </w:rPr>
              <w:t>Item 6.</w:t>
            </w:r>
          </w:p>
        </w:tc>
        <w:tc>
          <w:tcPr>
            <w:tcW w:w="4360" w:type="dxa"/>
            <w:vAlign w:val="bottom"/>
            <w:gridSpan w:val="8"/>
          </w:tcPr>
          <w:p>
            <w:pPr>
              <w:spacing w:after="0"/>
              <w:rPr>
                <w:sz w:val="20"/>
                <w:szCs w:val="20"/>
                <w:color w:val="auto"/>
              </w:rPr>
            </w:pPr>
            <w:r>
              <w:rPr>
                <w:rFonts w:ascii="Arial" w:cs="Arial" w:eastAsia="Arial" w:hAnsi="Arial"/>
                <w:sz w:val="16"/>
                <w:szCs w:val="16"/>
                <w:color w:val="0000FF"/>
              </w:rPr>
              <w:t>Exhibits</w:t>
            </w:r>
          </w:p>
        </w:tc>
      </w:tr>
      <w:tr>
        <w:trPr>
          <w:trHeight w:val="20"/>
        </w:trPr>
        <w:tc>
          <w:tcPr>
            <w:tcW w:w="10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r>
      <w:tr>
        <w:trPr>
          <w:trHeight w:val="263"/>
        </w:trPr>
        <w:tc>
          <w:tcPr>
            <w:tcW w:w="1060" w:type="dxa"/>
            <w:vAlign w:val="bottom"/>
          </w:tcPr>
          <w:p>
            <w:pPr>
              <w:spacing w:after="0"/>
              <w:rPr>
                <w:sz w:val="22"/>
                <w:szCs w:val="22"/>
                <w:color w:val="auto"/>
              </w:rPr>
            </w:pPr>
          </w:p>
        </w:tc>
        <w:tc>
          <w:tcPr>
            <w:tcW w:w="78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99"/>
              </w:rPr>
              <w:t>Signatures</w:t>
            </w:r>
          </w:p>
        </w:tc>
        <w:tc>
          <w:tcPr>
            <w:tcW w:w="3580" w:type="dxa"/>
            <w:vAlign w:val="bottom"/>
            <w:gridSpan w:val="6"/>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left="110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3</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27</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50</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52</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52</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52</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52</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52</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52</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53</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54</w:t>
      </w:r>
    </w:p>
    <w:p>
      <w:pPr>
        <w:sectPr>
          <w:pgSz w:w="11900" w:h="16838" w:orient="portrait"/>
          <w:cols w:equalWidth="0" w:num="2">
            <w:col w:w="10100" w:space="720"/>
            <w:col w:w="380"/>
          </w:cols>
          <w:pgMar w:left="340" w:top="1016" w:right="35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GLOSSARY OF TERMS</w:t>
      </w:r>
    </w:p>
    <w:p>
      <w:pPr>
        <w:spacing w:after="0" w:line="194"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Unless the context indicates otherwise, references in this filing to “we,” “our,” “us,” “the Company,” and “our company” refer to Red River Bancshares, Inc., a Louisiana corporation and bank holding company, and its consolidated subsidiaries. All references in this filing to “Red River Bank,” “the bank,” and “the Bank” refer to Red River Bank, our wholly owned bank subsidiary.</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Other abbreviations or acronyms used in this filing are defined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ABBREVIATION OR ACRONYM</w:t>
            </w:r>
          </w:p>
        </w:tc>
        <w:tc>
          <w:tcPr>
            <w:tcW w:w="832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DEFINITION</w:t>
            </w:r>
          </w:p>
        </w:tc>
      </w:tr>
      <w:tr>
        <w:trPr>
          <w:trHeight w:val="209"/>
        </w:trPr>
        <w:tc>
          <w:tcPr>
            <w:tcW w:w="2920" w:type="dxa"/>
            <w:vAlign w:val="bottom"/>
          </w:tcPr>
          <w:p>
            <w:pPr>
              <w:ind w:left="20"/>
              <w:spacing w:after="0"/>
              <w:rPr>
                <w:sz w:val="20"/>
                <w:szCs w:val="20"/>
                <w:color w:val="auto"/>
              </w:rPr>
            </w:pPr>
            <w:r>
              <w:rPr>
                <w:rFonts w:ascii="Arial" w:cs="Arial" w:eastAsia="Arial" w:hAnsi="Arial"/>
                <w:sz w:val="16"/>
                <w:szCs w:val="16"/>
                <w:color w:val="auto"/>
              </w:rPr>
              <w:t>ACL</w:t>
            </w:r>
          </w:p>
        </w:tc>
        <w:tc>
          <w:tcPr>
            <w:tcW w:w="8320" w:type="dxa"/>
            <w:vAlign w:val="bottom"/>
          </w:tcPr>
          <w:p>
            <w:pPr>
              <w:ind w:left="540"/>
              <w:spacing w:after="0"/>
              <w:rPr>
                <w:sz w:val="20"/>
                <w:szCs w:val="20"/>
                <w:color w:val="auto"/>
              </w:rPr>
            </w:pPr>
            <w:r>
              <w:rPr>
                <w:rFonts w:ascii="Arial" w:cs="Arial" w:eastAsia="Arial" w:hAnsi="Arial"/>
                <w:sz w:val="16"/>
                <w:szCs w:val="16"/>
                <w:color w:val="auto"/>
              </w:rPr>
              <w:t>Allowance for credit losses</w:t>
            </w:r>
          </w:p>
        </w:tc>
      </w:tr>
      <w:tr>
        <w:trPr>
          <w:trHeight w:val="215"/>
        </w:trPr>
        <w:tc>
          <w:tcPr>
            <w:tcW w:w="2920" w:type="dxa"/>
            <w:vAlign w:val="bottom"/>
          </w:tcPr>
          <w:p>
            <w:pPr>
              <w:ind w:left="20"/>
              <w:spacing w:after="0"/>
              <w:rPr>
                <w:sz w:val="20"/>
                <w:szCs w:val="20"/>
                <w:color w:val="auto"/>
              </w:rPr>
            </w:pPr>
            <w:r>
              <w:rPr>
                <w:rFonts w:ascii="Arial" w:cs="Arial" w:eastAsia="Arial" w:hAnsi="Arial"/>
                <w:sz w:val="16"/>
                <w:szCs w:val="16"/>
                <w:color w:val="auto"/>
              </w:rPr>
              <w:t>AFS</w:t>
            </w:r>
          </w:p>
        </w:tc>
        <w:tc>
          <w:tcPr>
            <w:tcW w:w="8320" w:type="dxa"/>
            <w:vAlign w:val="bottom"/>
          </w:tcPr>
          <w:p>
            <w:pPr>
              <w:ind w:left="540"/>
              <w:spacing w:after="0"/>
              <w:rPr>
                <w:sz w:val="20"/>
                <w:szCs w:val="20"/>
                <w:color w:val="auto"/>
              </w:rPr>
            </w:pPr>
            <w:r>
              <w:rPr>
                <w:rFonts w:ascii="Arial" w:cs="Arial" w:eastAsia="Arial" w:hAnsi="Arial"/>
                <w:sz w:val="16"/>
                <w:szCs w:val="16"/>
                <w:color w:val="auto"/>
              </w:rPr>
              <w:t>Available-for-sale</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AOCI</w:t>
            </w:r>
          </w:p>
        </w:tc>
        <w:tc>
          <w:tcPr>
            <w:tcW w:w="8320" w:type="dxa"/>
            <w:vAlign w:val="bottom"/>
          </w:tcPr>
          <w:p>
            <w:pPr>
              <w:ind w:left="540"/>
              <w:spacing w:after="0"/>
              <w:rPr>
                <w:sz w:val="20"/>
                <w:szCs w:val="20"/>
                <w:color w:val="auto"/>
              </w:rPr>
            </w:pPr>
            <w:r>
              <w:rPr>
                <w:rFonts w:ascii="Arial" w:cs="Arial" w:eastAsia="Arial" w:hAnsi="Arial"/>
                <w:sz w:val="16"/>
                <w:szCs w:val="16"/>
                <w:color w:val="auto"/>
              </w:rPr>
              <w:t>Accumulated other comprehensive income or loss</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ASC</w:t>
            </w:r>
          </w:p>
        </w:tc>
        <w:tc>
          <w:tcPr>
            <w:tcW w:w="8320" w:type="dxa"/>
            <w:vAlign w:val="bottom"/>
          </w:tcPr>
          <w:p>
            <w:pPr>
              <w:ind w:left="540"/>
              <w:spacing w:after="0"/>
              <w:rPr>
                <w:sz w:val="20"/>
                <w:szCs w:val="20"/>
                <w:color w:val="auto"/>
              </w:rPr>
            </w:pPr>
            <w:r>
              <w:rPr>
                <w:rFonts w:ascii="Arial" w:cs="Arial" w:eastAsia="Arial" w:hAnsi="Arial"/>
                <w:sz w:val="16"/>
                <w:szCs w:val="16"/>
                <w:color w:val="auto"/>
              </w:rPr>
              <w:t>Accounting Standards Codification</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ASU</w:t>
            </w:r>
          </w:p>
        </w:tc>
        <w:tc>
          <w:tcPr>
            <w:tcW w:w="8320" w:type="dxa"/>
            <w:vAlign w:val="bottom"/>
          </w:tcPr>
          <w:p>
            <w:pPr>
              <w:ind w:left="540"/>
              <w:spacing w:after="0"/>
              <w:rPr>
                <w:sz w:val="20"/>
                <w:szCs w:val="20"/>
                <w:color w:val="auto"/>
              </w:rPr>
            </w:pPr>
            <w:r>
              <w:rPr>
                <w:rFonts w:ascii="Arial" w:cs="Arial" w:eastAsia="Arial" w:hAnsi="Arial"/>
                <w:sz w:val="16"/>
                <w:szCs w:val="16"/>
                <w:color w:val="auto"/>
              </w:rPr>
              <w:t>Accounting Standards Update</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Basel III</w:t>
            </w:r>
          </w:p>
        </w:tc>
        <w:tc>
          <w:tcPr>
            <w:tcW w:w="8320" w:type="dxa"/>
            <w:vAlign w:val="bottom"/>
          </w:tcPr>
          <w:p>
            <w:pPr>
              <w:ind w:left="540"/>
              <w:spacing w:after="0"/>
              <w:rPr>
                <w:sz w:val="20"/>
                <w:szCs w:val="20"/>
                <w:color w:val="auto"/>
              </w:rPr>
            </w:pPr>
            <w:r>
              <w:rPr>
                <w:rFonts w:ascii="Arial" w:cs="Arial" w:eastAsia="Arial" w:hAnsi="Arial"/>
                <w:sz w:val="16"/>
                <w:szCs w:val="16"/>
                <w:color w:val="auto"/>
              </w:rPr>
              <w:t>Basel Committee’s 2010 Regulatory Capital Framework (Third Accord)</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BIC</w:t>
            </w:r>
          </w:p>
        </w:tc>
        <w:tc>
          <w:tcPr>
            <w:tcW w:w="8320" w:type="dxa"/>
            <w:vAlign w:val="bottom"/>
          </w:tcPr>
          <w:p>
            <w:pPr>
              <w:ind w:left="540"/>
              <w:spacing w:after="0"/>
              <w:rPr>
                <w:sz w:val="20"/>
                <w:szCs w:val="20"/>
                <w:color w:val="auto"/>
              </w:rPr>
            </w:pPr>
            <w:r>
              <w:rPr>
                <w:rFonts w:ascii="Arial" w:cs="Arial" w:eastAsia="Arial" w:hAnsi="Arial"/>
                <w:sz w:val="16"/>
                <w:szCs w:val="16"/>
                <w:color w:val="auto"/>
              </w:rPr>
              <w:t>Federal Reserve Bank’s Discount Window Borrower-in-Custody</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BOLI</w:t>
            </w:r>
          </w:p>
        </w:tc>
        <w:tc>
          <w:tcPr>
            <w:tcW w:w="8320" w:type="dxa"/>
            <w:vAlign w:val="bottom"/>
          </w:tcPr>
          <w:p>
            <w:pPr>
              <w:ind w:left="540"/>
              <w:spacing w:after="0"/>
              <w:rPr>
                <w:sz w:val="20"/>
                <w:szCs w:val="20"/>
                <w:color w:val="auto"/>
              </w:rPr>
            </w:pPr>
            <w:r>
              <w:rPr>
                <w:rFonts w:ascii="Arial" w:cs="Arial" w:eastAsia="Arial" w:hAnsi="Arial"/>
                <w:sz w:val="16"/>
                <w:szCs w:val="16"/>
                <w:color w:val="auto"/>
              </w:rPr>
              <w:t>Bank-owned life insurance</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bp(s)</w:t>
            </w:r>
          </w:p>
        </w:tc>
        <w:tc>
          <w:tcPr>
            <w:tcW w:w="8320" w:type="dxa"/>
            <w:vAlign w:val="bottom"/>
          </w:tcPr>
          <w:p>
            <w:pPr>
              <w:ind w:left="540"/>
              <w:spacing w:after="0"/>
              <w:rPr>
                <w:sz w:val="20"/>
                <w:szCs w:val="20"/>
                <w:color w:val="auto"/>
              </w:rPr>
            </w:pPr>
            <w:r>
              <w:rPr>
                <w:rFonts w:ascii="Arial" w:cs="Arial" w:eastAsia="Arial" w:hAnsi="Arial"/>
                <w:sz w:val="16"/>
                <w:szCs w:val="16"/>
                <w:color w:val="auto"/>
              </w:rPr>
              <w:t>Basis point(s)</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CBLR</w:t>
            </w:r>
          </w:p>
        </w:tc>
        <w:tc>
          <w:tcPr>
            <w:tcW w:w="8320" w:type="dxa"/>
            <w:vAlign w:val="bottom"/>
          </w:tcPr>
          <w:p>
            <w:pPr>
              <w:ind w:left="540"/>
              <w:spacing w:after="0"/>
              <w:rPr>
                <w:sz w:val="20"/>
                <w:szCs w:val="20"/>
                <w:color w:val="auto"/>
              </w:rPr>
            </w:pPr>
            <w:r>
              <w:rPr>
                <w:rFonts w:ascii="Arial" w:cs="Arial" w:eastAsia="Arial" w:hAnsi="Arial"/>
                <w:sz w:val="16"/>
                <w:szCs w:val="16"/>
                <w:color w:val="auto"/>
              </w:rPr>
              <w:t>Community bank leverage ratio</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CODM</w:t>
            </w:r>
          </w:p>
        </w:tc>
        <w:tc>
          <w:tcPr>
            <w:tcW w:w="8320" w:type="dxa"/>
            <w:vAlign w:val="bottom"/>
          </w:tcPr>
          <w:p>
            <w:pPr>
              <w:ind w:left="540"/>
              <w:spacing w:after="0"/>
              <w:rPr>
                <w:sz w:val="20"/>
                <w:szCs w:val="20"/>
                <w:color w:val="auto"/>
              </w:rPr>
            </w:pPr>
            <w:r>
              <w:rPr>
                <w:rFonts w:ascii="Arial" w:cs="Arial" w:eastAsia="Arial" w:hAnsi="Arial"/>
                <w:sz w:val="16"/>
                <w:szCs w:val="16"/>
                <w:color w:val="auto"/>
              </w:rPr>
              <w:t>Chief operating decision maker</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CRA</w:t>
            </w:r>
          </w:p>
        </w:tc>
        <w:tc>
          <w:tcPr>
            <w:tcW w:w="8320" w:type="dxa"/>
            <w:vAlign w:val="bottom"/>
          </w:tcPr>
          <w:p>
            <w:pPr>
              <w:ind w:left="540"/>
              <w:spacing w:after="0"/>
              <w:rPr>
                <w:sz w:val="20"/>
                <w:szCs w:val="20"/>
                <w:color w:val="auto"/>
              </w:rPr>
            </w:pPr>
            <w:r>
              <w:rPr>
                <w:rFonts w:ascii="Arial" w:cs="Arial" w:eastAsia="Arial" w:hAnsi="Arial"/>
                <w:sz w:val="16"/>
                <w:szCs w:val="16"/>
                <w:color w:val="auto"/>
              </w:rPr>
              <w:t>Community Reinvestment Act</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CRE</w:t>
            </w:r>
          </w:p>
        </w:tc>
        <w:tc>
          <w:tcPr>
            <w:tcW w:w="8320" w:type="dxa"/>
            <w:vAlign w:val="bottom"/>
          </w:tcPr>
          <w:p>
            <w:pPr>
              <w:ind w:left="540"/>
              <w:spacing w:after="0"/>
              <w:rPr>
                <w:sz w:val="20"/>
                <w:szCs w:val="20"/>
                <w:color w:val="auto"/>
              </w:rPr>
            </w:pPr>
            <w:r>
              <w:rPr>
                <w:rFonts w:ascii="Arial" w:cs="Arial" w:eastAsia="Arial" w:hAnsi="Arial"/>
                <w:sz w:val="16"/>
                <w:szCs w:val="16"/>
                <w:color w:val="auto"/>
              </w:rPr>
              <w:t>Commercial real estate</w:t>
            </w:r>
          </w:p>
        </w:tc>
      </w:tr>
      <w:tr>
        <w:trPr>
          <w:trHeight w:val="164"/>
        </w:trPr>
        <w:tc>
          <w:tcPr>
            <w:tcW w:w="2920" w:type="dxa"/>
            <w:vAlign w:val="bottom"/>
          </w:tcPr>
          <w:p>
            <w:pPr>
              <w:ind w:left="20"/>
              <w:spacing w:after="0" w:line="164" w:lineRule="exact"/>
              <w:rPr>
                <w:sz w:val="20"/>
                <w:szCs w:val="20"/>
                <w:color w:val="auto"/>
              </w:rPr>
            </w:pPr>
            <w:r>
              <w:rPr>
                <w:rFonts w:ascii="Arial" w:cs="Arial" w:eastAsia="Arial" w:hAnsi="Arial"/>
                <w:sz w:val="16"/>
                <w:szCs w:val="16"/>
                <w:color w:val="auto"/>
              </w:rPr>
              <w:t>Director Compensation Program</w:t>
            </w:r>
          </w:p>
        </w:tc>
        <w:tc>
          <w:tcPr>
            <w:tcW w:w="8320" w:type="dxa"/>
            <w:vAlign w:val="bottom"/>
          </w:tcPr>
          <w:p>
            <w:pPr>
              <w:ind w:left="540"/>
              <w:spacing w:after="0" w:line="164" w:lineRule="exact"/>
              <w:rPr>
                <w:sz w:val="20"/>
                <w:szCs w:val="20"/>
                <w:color w:val="auto"/>
              </w:rPr>
            </w:pPr>
            <w:r>
              <w:rPr>
                <w:rFonts w:ascii="Arial" w:cs="Arial" w:eastAsia="Arial" w:hAnsi="Arial"/>
                <w:sz w:val="16"/>
                <w:szCs w:val="16"/>
                <w:color w:val="auto"/>
              </w:rPr>
              <w:t>Amended and Restated Director Compensation program, which allows directors of the Company and the</w:t>
            </w:r>
          </w:p>
        </w:tc>
      </w:tr>
      <w:tr>
        <w:trPr>
          <w:trHeight w:val="215"/>
        </w:trPr>
        <w:tc>
          <w:tcPr>
            <w:tcW w:w="2920" w:type="dxa"/>
            <w:vAlign w:val="bottom"/>
          </w:tcPr>
          <w:p>
            <w:pPr>
              <w:spacing w:after="0"/>
              <w:rPr>
                <w:sz w:val="18"/>
                <w:szCs w:val="18"/>
                <w:color w:val="auto"/>
              </w:rPr>
            </w:pPr>
          </w:p>
        </w:tc>
        <w:tc>
          <w:tcPr>
            <w:tcW w:w="8320" w:type="dxa"/>
            <w:vAlign w:val="bottom"/>
          </w:tcPr>
          <w:p>
            <w:pPr>
              <w:ind w:left="540"/>
              <w:spacing w:after="0"/>
              <w:rPr>
                <w:sz w:val="20"/>
                <w:szCs w:val="20"/>
                <w:color w:val="auto"/>
              </w:rPr>
            </w:pPr>
            <w:r>
              <w:rPr>
                <w:rFonts w:ascii="Arial" w:cs="Arial" w:eastAsia="Arial" w:hAnsi="Arial"/>
                <w:sz w:val="16"/>
                <w:szCs w:val="16"/>
                <w:color w:val="auto"/>
              </w:rPr>
              <w:t>Bank an opportunity to select how to receive their annual director fees.</w:t>
            </w:r>
          </w:p>
        </w:tc>
      </w:tr>
      <w:tr>
        <w:trPr>
          <w:trHeight w:val="215"/>
        </w:trPr>
        <w:tc>
          <w:tcPr>
            <w:tcW w:w="2920" w:type="dxa"/>
            <w:vAlign w:val="bottom"/>
          </w:tcPr>
          <w:p>
            <w:pPr>
              <w:ind w:left="20"/>
              <w:spacing w:after="0"/>
              <w:rPr>
                <w:sz w:val="20"/>
                <w:szCs w:val="20"/>
                <w:color w:val="auto"/>
              </w:rPr>
            </w:pPr>
            <w:r>
              <w:rPr>
                <w:rFonts w:ascii="Arial" w:cs="Arial" w:eastAsia="Arial" w:hAnsi="Arial"/>
                <w:sz w:val="16"/>
                <w:szCs w:val="16"/>
                <w:color w:val="auto"/>
              </w:rPr>
              <w:t>Economic Growth Act</w:t>
            </w:r>
          </w:p>
        </w:tc>
        <w:tc>
          <w:tcPr>
            <w:tcW w:w="8320" w:type="dxa"/>
            <w:vAlign w:val="bottom"/>
          </w:tcPr>
          <w:p>
            <w:pPr>
              <w:ind w:left="540"/>
              <w:spacing w:after="0"/>
              <w:rPr>
                <w:sz w:val="20"/>
                <w:szCs w:val="20"/>
                <w:color w:val="auto"/>
              </w:rPr>
            </w:pPr>
            <w:r>
              <w:rPr>
                <w:rFonts w:ascii="Arial" w:cs="Arial" w:eastAsia="Arial" w:hAnsi="Arial"/>
                <w:sz w:val="16"/>
                <w:szCs w:val="16"/>
                <w:color w:val="auto"/>
              </w:rPr>
              <w:t>Economic Growth, Regulatory Relief, and Consumer Protection Act</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EPS</w:t>
            </w:r>
          </w:p>
        </w:tc>
        <w:tc>
          <w:tcPr>
            <w:tcW w:w="8320" w:type="dxa"/>
            <w:vAlign w:val="bottom"/>
          </w:tcPr>
          <w:p>
            <w:pPr>
              <w:ind w:left="540"/>
              <w:spacing w:after="0"/>
              <w:rPr>
                <w:sz w:val="20"/>
                <w:szCs w:val="20"/>
                <w:color w:val="auto"/>
              </w:rPr>
            </w:pPr>
            <w:r>
              <w:rPr>
                <w:rFonts w:ascii="Arial" w:cs="Arial" w:eastAsia="Arial" w:hAnsi="Arial"/>
                <w:sz w:val="16"/>
                <w:szCs w:val="16"/>
                <w:color w:val="auto"/>
              </w:rPr>
              <w:t>Earnings per share</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Exchange Act</w:t>
            </w:r>
          </w:p>
        </w:tc>
        <w:tc>
          <w:tcPr>
            <w:tcW w:w="8320" w:type="dxa"/>
            <w:vAlign w:val="bottom"/>
          </w:tcPr>
          <w:p>
            <w:pPr>
              <w:ind w:left="540"/>
              <w:spacing w:after="0"/>
              <w:rPr>
                <w:sz w:val="20"/>
                <w:szCs w:val="20"/>
                <w:color w:val="auto"/>
              </w:rPr>
            </w:pPr>
            <w:r>
              <w:rPr>
                <w:rFonts w:ascii="Arial" w:cs="Arial" w:eastAsia="Arial" w:hAnsi="Arial"/>
                <w:sz w:val="16"/>
                <w:szCs w:val="16"/>
                <w:color w:val="auto"/>
              </w:rPr>
              <w:t>Securities Exchange Act of 1934, as amended</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FDIC</w:t>
            </w:r>
          </w:p>
        </w:tc>
        <w:tc>
          <w:tcPr>
            <w:tcW w:w="8320" w:type="dxa"/>
            <w:vAlign w:val="bottom"/>
          </w:tcPr>
          <w:p>
            <w:pPr>
              <w:ind w:left="540"/>
              <w:spacing w:after="0"/>
              <w:rPr>
                <w:sz w:val="20"/>
                <w:szCs w:val="20"/>
                <w:color w:val="auto"/>
              </w:rPr>
            </w:pPr>
            <w:r>
              <w:rPr>
                <w:rFonts w:ascii="Arial" w:cs="Arial" w:eastAsia="Arial" w:hAnsi="Arial"/>
                <w:sz w:val="16"/>
                <w:szCs w:val="16"/>
                <w:color w:val="auto"/>
              </w:rPr>
              <w:t>Federal Deposit Insurance Corporation</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Federal Reserve</w:t>
            </w:r>
          </w:p>
        </w:tc>
        <w:tc>
          <w:tcPr>
            <w:tcW w:w="8320" w:type="dxa"/>
            <w:vAlign w:val="bottom"/>
          </w:tcPr>
          <w:p>
            <w:pPr>
              <w:ind w:left="540"/>
              <w:spacing w:after="0"/>
              <w:rPr>
                <w:sz w:val="20"/>
                <w:szCs w:val="20"/>
                <w:color w:val="auto"/>
              </w:rPr>
            </w:pPr>
            <w:r>
              <w:rPr>
                <w:rFonts w:ascii="Arial" w:cs="Arial" w:eastAsia="Arial" w:hAnsi="Arial"/>
                <w:sz w:val="16"/>
                <w:szCs w:val="16"/>
                <w:color w:val="auto"/>
              </w:rPr>
              <w:t>Board of Governors of the Federal Reserve System</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FHLB</w:t>
            </w:r>
          </w:p>
        </w:tc>
        <w:tc>
          <w:tcPr>
            <w:tcW w:w="8320" w:type="dxa"/>
            <w:vAlign w:val="bottom"/>
          </w:tcPr>
          <w:p>
            <w:pPr>
              <w:ind w:left="540"/>
              <w:spacing w:after="0"/>
              <w:rPr>
                <w:sz w:val="20"/>
                <w:szCs w:val="20"/>
                <w:color w:val="auto"/>
              </w:rPr>
            </w:pPr>
            <w:r>
              <w:rPr>
                <w:rFonts w:ascii="Arial" w:cs="Arial" w:eastAsia="Arial" w:hAnsi="Arial"/>
                <w:sz w:val="16"/>
                <w:szCs w:val="16"/>
                <w:color w:val="auto"/>
              </w:rPr>
              <w:t>Federal Home Loan Bank of Dallas</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FOMC</w:t>
            </w:r>
          </w:p>
        </w:tc>
        <w:tc>
          <w:tcPr>
            <w:tcW w:w="8320" w:type="dxa"/>
            <w:vAlign w:val="bottom"/>
          </w:tcPr>
          <w:p>
            <w:pPr>
              <w:ind w:left="540"/>
              <w:spacing w:after="0"/>
              <w:rPr>
                <w:sz w:val="20"/>
                <w:szCs w:val="20"/>
                <w:color w:val="auto"/>
              </w:rPr>
            </w:pPr>
            <w:r>
              <w:rPr>
                <w:rFonts w:ascii="Arial" w:cs="Arial" w:eastAsia="Arial" w:hAnsi="Arial"/>
                <w:sz w:val="16"/>
                <w:szCs w:val="16"/>
                <w:color w:val="auto"/>
              </w:rPr>
              <w:t>Federal Open Market Committee</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FTE</w:t>
            </w:r>
          </w:p>
        </w:tc>
        <w:tc>
          <w:tcPr>
            <w:tcW w:w="8320" w:type="dxa"/>
            <w:vAlign w:val="bottom"/>
          </w:tcPr>
          <w:p>
            <w:pPr>
              <w:ind w:left="540"/>
              <w:spacing w:after="0"/>
              <w:rPr>
                <w:sz w:val="20"/>
                <w:szCs w:val="20"/>
                <w:color w:val="auto"/>
              </w:rPr>
            </w:pPr>
            <w:r>
              <w:rPr>
                <w:rFonts w:ascii="Arial" w:cs="Arial" w:eastAsia="Arial" w:hAnsi="Arial"/>
                <w:sz w:val="16"/>
                <w:szCs w:val="16"/>
                <w:color w:val="auto"/>
              </w:rPr>
              <w:t>Fully taxable equivalent basis</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GAAP</w:t>
            </w:r>
          </w:p>
        </w:tc>
        <w:tc>
          <w:tcPr>
            <w:tcW w:w="8320" w:type="dxa"/>
            <w:vAlign w:val="bottom"/>
          </w:tcPr>
          <w:p>
            <w:pPr>
              <w:ind w:left="540"/>
              <w:spacing w:after="0"/>
              <w:rPr>
                <w:sz w:val="20"/>
                <w:szCs w:val="20"/>
                <w:color w:val="auto"/>
              </w:rPr>
            </w:pPr>
            <w:r>
              <w:rPr>
                <w:rFonts w:ascii="Arial" w:cs="Arial" w:eastAsia="Arial" w:hAnsi="Arial"/>
                <w:sz w:val="16"/>
                <w:szCs w:val="16"/>
                <w:color w:val="auto"/>
              </w:rPr>
              <w:t>Generally Accepted Accounting Principles in the United States of America</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HFI</w:t>
            </w:r>
          </w:p>
        </w:tc>
        <w:tc>
          <w:tcPr>
            <w:tcW w:w="8320" w:type="dxa"/>
            <w:vAlign w:val="bottom"/>
          </w:tcPr>
          <w:p>
            <w:pPr>
              <w:ind w:left="540"/>
              <w:spacing w:after="0"/>
              <w:rPr>
                <w:sz w:val="20"/>
                <w:szCs w:val="20"/>
                <w:color w:val="auto"/>
              </w:rPr>
            </w:pPr>
            <w:r>
              <w:rPr>
                <w:rFonts w:ascii="Arial" w:cs="Arial" w:eastAsia="Arial" w:hAnsi="Arial"/>
                <w:sz w:val="16"/>
                <w:szCs w:val="16"/>
                <w:color w:val="auto"/>
              </w:rPr>
              <w:t>Held for investment</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HFS</w:t>
            </w:r>
          </w:p>
        </w:tc>
        <w:tc>
          <w:tcPr>
            <w:tcW w:w="8320" w:type="dxa"/>
            <w:vAlign w:val="bottom"/>
          </w:tcPr>
          <w:p>
            <w:pPr>
              <w:ind w:left="540"/>
              <w:spacing w:after="0"/>
              <w:rPr>
                <w:sz w:val="20"/>
                <w:szCs w:val="20"/>
                <w:color w:val="auto"/>
              </w:rPr>
            </w:pPr>
            <w:r>
              <w:rPr>
                <w:rFonts w:ascii="Arial" w:cs="Arial" w:eastAsia="Arial" w:hAnsi="Arial"/>
                <w:sz w:val="16"/>
                <w:szCs w:val="16"/>
                <w:color w:val="auto"/>
              </w:rPr>
              <w:t>Held for sale</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HTM</w:t>
            </w:r>
          </w:p>
        </w:tc>
        <w:tc>
          <w:tcPr>
            <w:tcW w:w="8320" w:type="dxa"/>
            <w:vAlign w:val="bottom"/>
          </w:tcPr>
          <w:p>
            <w:pPr>
              <w:ind w:left="540"/>
              <w:spacing w:after="0"/>
              <w:rPr>
                <w:sz w:val="20"/>
                <w:szCs w:val="20"/>
                <w:color w:val="auto"/>
              </w:rPr>
            </w:pPr>
            <w:r>
              <w:rPr>
                <w:rFonts w:ascii="Arial" w:cs="Arial" w:eastAsia="Arial" w:hAnsi="Arial"/>
                <w:sz w:val="16"/>
                <w:szCs w:val="16"/>
                <w:color w:val="auto"/>
              </w:rPr>
              <w:t>Held-to-maturity</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JAM FINTOP</w:t>
            </w:r>
          </w:p>
        </w:tc>
        <w:tc>
          <w:tcPr>
            <w:tcW w:w="8320" w:type="dxa"/>
            <w:vAlign w:val="bottom"/>
          </w:tcPr>
          <w:p>
            <w:pPr>
              <w:ind w:left="540"/>
              <w:spacing w:after="0"/>
              <w:rPr>
                <w:sz w:val="20"/>
                <w:szCs w:val="20"/>
                <w:color w:val="auto"/>
              </w:rPr>
            </w:pPr>
            <w:r>
              <w:rPr>
                <w:rFonts w:ascii="Arial" w:cs="Arial" w:eastAsia="Arial" w:hAnsi="Arial"/>
                <w:sz w:val="16"/>
                <w:szCs w:val="16"/>
                <w:color w:val="auto"/>
              </w:rPr>
              <w:t>JAM FINTOP Banktech, L.P. fund</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LDPO</w:t>
            </w:r>
          </w:p>
        </w:tc>
        <w:tc>
          <w:tcPr>
            <w:tcW w:w="8320" w:type="dxa"/>
            <w:vAlign w:val="bottom"/>
          </w:tcPr>
          <w:p>
            <w:pPr>
              <w:ind w:left="540"/>
              <w:spacing w:after="0"/>
              <w:rPr>
                <w:sz w:val="20"/>
                <w:szCs w:val="20"/>
                <w:color w:val="auto"/>
              </w:rPr>
            </w:pPr>
            <w:r>
              <w:rPr>
                <w:rFonts w:ascii="Arial" w:cs="Arial" w:eastAsia="Arial" w:hAnsi="Arial"/>
                <w:sz w:val="16"/>
                <w:szCs w:val="16"/>
                <w:color w:val="auto"/>
              </w:rPr>
              <w:t>Loan and deposit production office</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MSA</w:t>
            </w:r>
          </w:p>
        </w:tc>
        <w:tc>
          <w:tcPr>
            <w:tcW w:w="8320" w:type="dxa"/>
            <w:vAlign w:val="bottom"/>
          </w:tcPr>
          <w:p>
            <w:pPr>
              <w:ind w:left="540"/>
              <w:spacing w:after="0"/>
              <w:rPr>
                <w:sz w:val="20"/>
                <w:szCs w:val="20"/>
                <w:color w:val="auto"/>
              </w:rPr>
            </w:pPr>
            <w:r>
              <w:rPr>
                <w:rFonts w:ascii="Arial" w:cs="Arial" w:eastAsia="Arial" w:hAnsi="Arial"/>
                <w:sz w:val="16"/>
                <w:szCs w:val="16"/>
                <w:color w:val="auto"/>
              </w:rPr>
              <w:t>Metropolitan statistical area</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NOW</w:t>
            </w:r>
          </w:p>
        </w:tc>
        <w:tc>
          <w:tcPr>
            <w:tcW w:w="8320" w:type="dxa"/>
            <w:vAlign w:val="bottom"/>
          </w:tcPr>
          <w:p>
            <w:pPr>
              <w:ind w:left="540"/>
              <w:spacing w:after="0"/>
              <w:rPr>
                <w:sz w:val="20"/>
                <w:szCs w:val="20"/>
                <w:color w:val="auto"/>
              </w:rPr>
            </w:pPr>
            <w:r>
              <w:rPr>
                <w:rFonts w:ascii="Arial" w:cs="Arial" w:eastAsia="Arial" w:hAnsi="Arial"/>
                <w:sz w:val="16"/>
                <w:szCs w:val="16"/>
                <w:color w:val="auto"/>
              </w:rPr>
              <w:t>Negotiable order of withdrawal</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NPA(s)</w:t>
            </w:r>
          </w:p>
        </w:tc>
        <w:tc>
          <w:tcPr>
            <w:tcW w:w="8320" w:type="dxa"/>
            <w:vAlign w:val="bottom"/>
          </w:tcPr>
          <w:p>
            <w:pPr>
              <w:ind w:left="540"/>
              <w:spacing w:after="0"/>
              <w:rPr>
                <w:sz w:val="20"/>
                <w:szCs w:val="20"/>
                <w:color w:val="auto"/>
              </w:rPr>
            </w:pPr>
            <w:r>
              <w:rPr>
                <w:rFonts w:ascii="Arial" w:cs="Arial" w:eastAsia="Arial" w:hAnsi="Arial"/>
                <w:sz w:val="16"/>
                <w:szCs w:val="16"/>
                <w:color w:val="auto"/>
              </w:rPr>
              <w:t>Nonperforming asset(s)</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OREO</w:t>
            </w:r>
          </w:p>
        </w:tc>
        <w:tc>
          <w:tcPr>
            <w:tcW w:w="8320" w:type="dxa"/>
            <w:vAlign w:val="bottom"/>
          </w:tcPr>
          <w:p>
            <w:pPr>
              <w:ind w:left="540"/>
              <w:spacing w:after="0"/>
              <w:rPr>
                <w:sz w:val="20"/>
                <w:szCs w:val="20"/>
                <w:color w:val="auto"/>
              </w:rPr>
            </w:pPr>
            <w:r>
              <w:rPr>
                <w:rFonts w:ascii="Arial" w:cs="Arial" w:eastAsia="Arial" w:hAnsi="Arial"/>
                <w:sz w:val="16"/>
                <w:szCs w:val="16"/>
                <w:color w:val="auto"/>
              </w:rPr>
              <w:t>Other real estate owned</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PCD</w:t>
            </w:r>
          </w:p>
        </w:tc>
        <w:tc>
          <w:tcPr>
            <w:tcW w:w="8320" w:type="dxa"/>
            <w:vAlign w:val="bottom"/>
          </w:tcPr>
          <w:p>
            <w:pPr>
              <w:ind w:left="540"/>
              <w:spacing w:after="0"/>
              <w:rPr>
                <w:sz w:val="20"/>
                <w:szCs w:val="20"/>
                <w:color w:val="auto"/>
              </w:rPr>
            </w:pPr>
            <w:r>
              <w:rPr>
                <w:rFonts w:ascii="Arial" w:cs="Arial" w:eastAsia="Arial" w:hAnsi="Arial"/>
                <w:sz w:val="16"/>
                <w:szCs w:val="16"/>
                <w:color w:val="auto"/>
              </w:rPr>
              <w:t>Purchased credit deteriorated</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Report</w:t>
            </w:r>
          </w:p>
        </w:tc>
        <w:tc>
          <w:tcPr>
            <w:tcW w:w="8320" w:type="dxa"/>
            <w:vAlign w:val="bottom"/>
          </w:tcPr>
          <w:p>
            <w:pPr>
              <w:ind w:left="540"/>
              <w:spacing w:after="0"/>
              <w:rPr>
                <w:sz w:val="20"/>
                <w:szCs w:val="20"/>
                <w:color w:val="auto"/>
              </w:rPr>
            </w:pPr>
            <w:r>
              <w:rPr>
                <w:rFonts w:ascii="Arial" w:cs="Arial" w:eastAsia="Arial" w:hAnsi="Arial"/>
                <w:sz w:val="16"/>
                <w:szCs w:val="16"/>
                <w:color w:val="auto"/>
              </w:rPr>
              <w:t>Quarterly Report on Form 10-Q</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SBIC</w:t>
            </w:r>
          </w:p>
        </w:tc>
        <w:tc>
          <w:tcPr>
            <w:tcW w:w="8320" w:type="dxa"/>
            <w:vAlign w:val="bottom"/>
          </w:tcPr>
          <w:p>
            <w:pPr>
              <w:ind w:left="540"/>
              <w:spacing w:after="0"/>
              <w:rPr>
                <w:sz w:val="20"/>
                <w:szCs w:val="20"/>
                <w:color w:val="auto"/>
              </w:rPr>
            </w:pPr>
            <w:r>
              <w:rPr>
                <w:rFonts w:ascii="Arial" w:cs="Arial" w:eastAsia="Arial" w:hAnsi="Arial"/>
                <w:sz w:val="16"/>
                <w:szCs w:val="16"/>
                <w:color w:val="auto"/>
              </w:rPr>
              <w:t>Small Business Investment Company</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Securities Act</w:t>
            </w:r>
          </w:p>
        </w:tc>
        <w:tc>
          <w:tcPr>
            <w:tcW w:w="8320" w:type="dxa"/>
            <w:vAlign w:val="bottom"/>
          </w:tcPr>
          <w:p>
            <w:pPr>
              <w:ind w:left="540"/>
              <w:spacing w:after="0"/>
              <w:rPr>
                <w:sz w:val="20"/>
                <w:szCs w:val="20"/>
                <w:color w:val="auto"/>
              </w:rPr>
            </w:pPr>
            <w:r>
              <w:rPr>
                <w:rFonts w:ascii="Arial" w:cs="Arial" w:eastAsia="Arial" w:hAnsi="Arial"/>
                <w:sz w:val="16"/>
                <w:szCs w:val="16"/>
                <w:color w:val="auto"/>
              </w:rPr>
              <w:t>Securities Act of 1933, as amended</w:t>
            </w: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SEC</w:t>
            </w:r>
          </w:p>
        </w:tc>
        <w:tc>
          <w:tcPr>
            <w:tcW w:w="8320" w:type="dxa"/>
            <w:vAlign w:val="bottom"/>
          </w:tcPr>
          <w:p>
            <w:pPr>
              <w:ind w:left="540"/>
              <w:spacing w:after="0"/>
              <w:rPr>
                <w:sz w:val="20"/>
                <w:szCs w:val="20"/>
                <w:color w:val="auto"/>
              </w:rPr>
            </w:pPr>
            <w:r>
              <w:rPr>
                <w:rFonts w:ascii="Arial" w:cs="Arial" w:eastAsia="Arial" w:hAnsi="Arial"/>
                <w:sz w:val="16"/>
                <w:szCs w:val="16"/>
                <w:color w:val="auto"/>
              </w:rPr>
              <w:t>Securities and Exchange Commission</w:t>
            </w: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140"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This Report contains forward-looking statements within the meaning of Section 27A of the Securities Act and Section 21E of the Exchange Act, which reflect our current views with respect to, among other things, future events and our financial performance. These statements are often, but not always, made through the use of words or phrases such as “may,” “should,” “could,” “predict,” “potential,” “believe,” “will likely result,” “expect,” “continue,” “will,” “anticipate,” “seek,” “estimate,” “intend,” “plan,” “projection,” “would,” and “outlook,” or the negative version of those words, or such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292"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There are or will be important factors that could cause our actual results to differ materially from those indicated in these forward-looking statements, including, but not limited to, the following:</w:t>
      </w:r>
    </w:p>
    <w:p>
      <w:pPr>
        <w:spacing w:after="0" w:line="129" w:lineRule="exact"/>
        <w:rPr>
          <w:sz w:val="20"/>
          <w:szCs w:val="20"/>
          <w:color w:val="auto"/>
        </w:rPr>
      </w:pPr>
    </w:p>
    <w:p>
      <w:pPr>
        <w:ind w:left="960" w:hanging="304"/>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volatility and direction of market interest rates;</w:t>
      </w:r>
    </w:p>
    <w:p>
      <w:pPr>
        <w:spacing w:after="0" w:line="21" w:lineRule="exact"/>
        <w:rPr>
          <w:rFonts w:ascii="Arial" w:cs="Arial" w:eastAsia="Arial" w:hAnsi="Arial"/>
          <w:sz w:val="16"/>
          <w:szCs w:val="16"/>
          <w:color w:val="auto"/>
        </w:rPr>
      </w:pPr>
    </w:p>
    <w:p>
      <w:pPr>
        <w:ind w:left="960" w:hanging="304"/>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business and economic conditions generally, in the financial services industry, nationally, and within our local market areas;</w:t>
      </w:r>
    </w:p>
    <w:p>
      <w:pPr>
        <w:spacing w:after="0" w:line="14" w:lineRule="exact"/>
        <w:rPr>
          <w:rFonts w:ascii="Arial" w:cs="Arial" w:eastAsia="Arial" w:hAnsi="Arial"/>
          <w:sz w:val="16"/>
          <w:szCs w:val="16"/>
          <w:color w:val="auto"/>
        </w:rPr>
      </w:pPr>
    </w:p>
    <w:p>
      <w:pPr>
        <w:ind w:left="980" w:right="80" w:hanging="324"/>
        <w:spacing w:after="0" w:line="254" w:lineRule="auto"/>
        <w:tabs>
          <w:tab w:leader="none" w:pos="969" w:val="left"/>
        </w:tabs>
        <w:numPr>
          <w:ilvl w:val="0"/>
          <w:numId w:val="3"/>
        </w:numPr>
        <w:rPr>
          <w:rFonts w:ascii="Arial" w:cs="Arial" w:eastAsia="Arial" w:hAnsi="Arial"/>
          <w:sz w:val="16"/>
          <w:szCs w:val="16"/>
          <w:color w:val="auto"/>
        </w:rPr>
      </w:pPr>
      <w:r>
        <w:rPr>
          <w:rFonts w:ascii="Arial" w:cs="Arial" w:eastAsia="Arial" w:hAnsi="Arial"/>
          <w:sz w:val="16"/>
          <w:szCs w:val="16"/>
          <w:color w:val="auto"/>
        </w:rPr>
        <w:t>government intervention in the U.S. financial system, including the effects of recent and future legislative, tax, accounting, and regulatory actions and reforms, including the Inflation Reduction Act of 2022, and other stimulus legislation or changes in banking, securities, accounting, and tax laws and regulations, and their application by our regulators;</w:t>
      </w:r>
    </w:p>
    <w:p>
      <w:pPr>
        <w:ind w:left="960" w:hanging="304"/>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management personnel;</w:t>
      </w:r>
    </w:p>
    <w:p>
      <w:pPr>
        <w:spacing w:after="0" w:line="5" w:lineRule="exact"/>
        <w:rPr>
          <w:rFonts w:ascii="Arial" w:cs="Arial" w:eastAsia="Arial" w:hAnsi="Arial"/>
          <w:sz w:val="16"/>
          <w:szCs w:val="16"/>
          <w:color w:val="auto"/>
        </w:rPr>
      </w:pPr>
    </w:p>
    <w:p>
      <w:pPr>
        <w:ind w:left="960" w:hanging="304"/>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increased competition in the financial services industry, particularly from regional and national institutions;</w:t>
      </w:r>
    </w:p>
    <w:p>
      <w:pPr>
        <w:spacing w:after="0" w:line="14" w:lineRule="exact"/>
        <w:rPr>
          <w:rFonts w:ascii="Arial" w:cs="Arial" w:eastAsia="Arial" w:hAnsi="Arial"/>
          <w:sz w:val="16"/>
          <w:szCs w:val="16"/>
          <w:color w:val="auto"/>
        </w:rPr>
      </w:pPr>
    </w:p>
    <w:p>
      <w:pPr>
        <w:ind w:left="960" w:hanging="304"/>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important deposit customer relationships and our reputation, and to otherwise avoid liquidity risks;</w:t>
      </w:r>
    </w:p>
    <w:p>
      <w:pPr>
        <w:spacing w:after="0" w:line="8" w:lineRule="exact"/>
        <w:rPr>
          <w:rFonts w:ascii="Arial" w:cs="Arial" w:eastAsia="Arial" w:hAnsi="Arial"/>
          <w:sz w:val="16"/>
          <w:szCs w:val="16"/>
          <w:color w:val="auto"/>
        </w:rPr>
      </w:pPr>
    </w:p>
    <w:p>
      <w:pPr>
        <w:ind w:left="980" w:right="60" w:hanging="324"/>
        <w:spacing w:after="0" w:line="252" w:lineRule="auto"/>
        <w:tabs>
          <w:tab w:leader="none" w:pos="969" w:val="left"/>
        </w:tabs>
        <w:numPr>
          <w:ilvl w:val="0"/>
          <w:numId w:val="3"/>
        </w:numPr>
        <w:rPr>
          <w:rFonts w:ascii="Arial" w:cs="Arial" w:eastAsia="Arial" w:hAnsi="Arial"/>
          <w:sz w:val="16"/>
          <w:szCs w:val="16"/>
          <w:color w:val="auto"/>
        </w:rPr>
      </w:pPr>
      <w:r>
        <w:rPr>
          <w:rFonts w:ascii="Arial" w:cs="Arial" w:eastAsia="Arial" w:hAnsi="Arial"/>
          <w:sz w:val="16"/>
          <w:szCs w:val="16"/>
          <w:color w:val="auto"/>
        </w:rPr>
        <w:t>factors that can impact the performance of our loan portfolio, including real estate values and liquidity in our primary market areas, the financial health of our commercial borrowers, and the success of construction projects that we finance, including any loans acquired in acquisition transactions;</w:t>
      </w:r>
    </w:p>
    <w:p>
      <w:pPr>
        <w:ind w:left="960" w:hanging="304"/>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the value of collateral securing our loans;</w:t>
      </w:r>
    </w:p>
    <w:p>
      <w:pPr>
        <w:spacing w:after="0" w:line="14" w:lineRule="exact"/>
        <w:rPr>
          <w:rFonts w:ascii="Arial" w:cs="Arial" w:eastAsia="Arial" w:hAnsi="Arial"/>
          <w:sz w:val="16"/>
          <w:szCs w:val="16"/>
          <w:color w:val="auto"/>
        </w:rPr>
      </w:pPr>
    </w:p>
    <w:p>
      <w:pPr>
        <w:ind w:left="960" w:hanging="304"/>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associated with system failures or failures to protect against cybersecurity threats, such as breaches of our network security;</w:t>
      </w:r>
    </w:p>
    <w:p>
      <w:pPr>
        <w:spacing w:after="0" w:line="8" w:lineRule="exact"/>
        <w:rPr>
          <w:rFonts w:ascii="Arial" w:cs="Arial" w:eastAsia="Arial" w:hAnsi="Arial"/>
          <w:sz w:val="16"/>
          <w:szCs w:val="16"/>
          <w:color w:val="auto"/>
        </w:rPr>
      </w:pPr>
    </w:p>
    <w:p>
      <w:pPr>
        <w:ind w:left="960" w:hanging="304"/>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deterioration of our asset quality;</w:t>
      </w:r>
    </w:p>
    <w:p>
      <w:pPr>
        <w:spacing w:after="0" w:line="14" w:lineRule="exact"/>
        <w:rPr>
          <w:rFonts w:ascii="Arial" w:cs="Arial" w:eastAsia="Arial" w:hAnsi="Arial"/>
          <w:sz w:val="16"/>
          <w:szCs w:val="16"/>
          <w:color w:val="auto"/>
        </w:rPr>
      </w:pPr>
    </w:p>
    <w:p>
      <w:pPr>
        <w:ind w:left="960" w:hanging="304"/>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adequacy of our reserves, including our ACL;</w:t>
      </w:r>
    </w:p>
    <w:p>
      <w:pPr>
        <w:spacing w:after="0" w:line="8" w:lineRule="exact"/>
        <w:rPr>
          <w:rFonts w:ascii="Arial" w:cs="Arial" w:eastAsia="Arial" w:hAnsi="Arial"/>
          <w:sz w:val="16"/>
          <w:szCs w:val="16"/>
          <w:color w:val="auto"/>
        </w:rPr>
      </w:pPr>
    </w:p>
    <w:p>
      <w:pPr>
        <w:ind w:left="960" w:hanging="304"/>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operational risks associated with our business;</w:t>
      </w:r>
    </w:p>
    <w:p>
      <w:pPr>
        <w:spacing w:after="0" w:line="5" w:lineRule="exact"/>
        <w:rPr>
          <w:rFonts w:ascii="Arial" w:cs="Arial" w:eastAsia="Arial" w:hAnsi="Arial"/>
          <w:sz w:val="16"/>
          <w:szCs w:val="16"/>
          <w:color w:val="auto"/>
        </w:rPr>
      </w:pPr>
    </w:p>
    <w:p>
      <w:pPr>
        <w:ind w:left="980" w:right="380" w:hanging="324"/>
        <w:spacing w:after="0" w:line="255" w:lineRule="auto"/>
        <w:tabs>
          <w:tab w:leader="none" w:pos="969" w:val="left"/>
        </w:tabs>
        <w:numPr>
          <w:ilvl w:val="0"/>
          <w:numId w:val="3"/>
        </w:numPr>
        <w:rPr>
          <w:rFonts w:ascii="Arial" w:cs="Arial" w:eastAsia="Arial" w:hAnsi="Arial"/>
          <w:sz w:val="16"/>
          <w:szCs w:val="16"/>
          <w:color w:val="auto"/>
        </w:rPr>
      </w:pPr>
      <w:r>
        <w:rPr>
          <w:rFonts w:ascii="Arial" w:cs="Arial" w:eastAsia="Arial" w:hAnsi="Arial"/>
          <w:sz w:val="16"/>
          <w:szCs w:val="16"/>
          <w:color w:val="auto"/>
        </w:rPr>
        <w:t>natural disasters and adverse weather, acts of terrorism, trade and tariff policies, trade wars, pandemics, wars, an outbreak of hostilities or tensions with other countries, or other international or domestic calamities, and other matters beyond our control;</w:t>
      </w:r>
    </w:p>
    <w:p>
      <w:pPr>
        <w:ind w:left="960" w:hanging="304"/>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prudently manage our growth and execute our strategy;</w:t>
      </w:r>
    </w:p>
    <w:p>
      <w:pPr>
        <w:spacing w:after="0" w:line="5" w:lineRule="exact"/>
        <w:rPr>
          <w:rFonts w:ascii="Arial" w:cs="Arial" w:eastAsia="Arial" w:hAnsi="Arial"/>
          <w:sz w:val="16"/>
          <w:szCs w:val="16"/>
          <w:color w:val="auto"/>
        </w:rPr>
      </w:pPr>
    </w:p>
    <w:p>
      <w:pPr>
        <w:ind w:left="960" w:hanging="304"/>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compliance with the extensive regulatory framework that applies to us;</w:t>
      </w:r>
    </w:p>
    <w:p>
      <w:pPr>
        <w:spacing w:after="0" w:line="14" w:lineRule="exact"/>
        <w:rPr>
          <w:rFonts w:ascii="Arial" w:cs="Arial" w:eastAsia="Arial" w:hAnsi="Arial"/>
          <w:sz w:val="16"/>
          <w:szCs w:val="16"/>
          <w:color w:val="auto"/>
        </w:rPr>
      </w:pPr>
    </w:p>
    <w:p>
      <w:pPr>
        <w:ind w:left="980" w:right="220" w:hanging="324"/>
        <w:spacing w:after="0" w:line="255" w:lineRule="auto"/>
        <w:tabs>
          <w:tab w:leader="none" w:pos="969"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the laws, rules, regulations, interpretations, or policies relating to financial institutions, accounting, tax, trade, monetary, and fiscal matters; and</w:t>
      </w:r>
    </w:p>
    <w:p>
      <w:pPr>
        <w:ind w:left="980" w:right="160" w:hanging="324"/>
        <w:spacing w:after="0" w:line="270" w:lineRule="auto"/>
        <w:tabs>
          <w:tab w:leader="none" w:pos="96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risk factors found in “Part I - Item 1A. Risk Factors” in our Annual Report on Form 10-K for the year ended December 31, 2025, as well as in “Part II - Item 1A. Risk Factors” of this Report and other reports and documents we file from time to time with the SEC.</w:t>
      </w:r>
    </w:p>
    <w:p>
      <w:pPr>
        <w:spacing w:after="0" w:line="141"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Report. Additional information on these and other risk factors can be found in “Part II - Item 1A. Risk Factors” of this Report and in “Part I - Item 1A. Risk Factors” in our Annual Report on Form 10-K for the year ended December 31, 2025. If one or more events related to these or other risks or uncertainties materialize, or if our underlying assumptions prove to be incorrect, actual results may differ materially from what we anticipate. Accordingly, you should not place undue reliance on any such forward-looking statements. Any forward-looking statement speaks only as of the date on which it is made, and we do not undertake any obligation to publicly update or review any forward-looking statement, whether as a result of new information, future developments, or otherwise, except as required by applicable law. New risks emerge from time to time, and it is not possible for us to predict what risks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7760" w:type="dxa"/>
            <w:vAlign w:val="bottom"/>
            <w:gridSpan w:val="7"/>
          </w:tcPr>
          <w:p>
            <w:pPr>
              <w:spacing w:after="0"/>
              <w:rPr>
                <w:sz w:val="20"/>
                <w:szCs w:val="20"/>
                <w:color w:val="auto"/>
              </w:rPr>
            </w:pPr>
            <w:r>
              <w:rPr>
                <w:rFonts w:ascii="Arial" w:cs="Arial" w:eastAsia="Arial" w:hAnsi="Arial"/>
                <w:sz w:val="16"/>
                <w:szCs w:val="16"/>
                <w:color w:val="0000FF"/>
              </w:rPr>
              <w:t>Table of Contents</w:t>
            </w: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8"/>
        </w:trPr>
        <w:tc>
          <w:tcPr>
            <w:tcW w:w="7760" w:type="dxa"/>
            <w:vAlign w:val="bottom"/>
            <w:gridSpan w:val="7"/>
          </w:tcPr>
          <w:p>
            <w:pPr>
              <w:spacing w:after="0"/>
              <w:rPr>
                <w:sz w:val="20"/>
                <w:szCs w:val="20"/>
                <w:color w:val="auto"/>
              </w:rPr>
            </w:pPr>
            <w:r>
              <w:rPr>
                <w:rFonts w:ascii="Arial" w:cs="Arial" w:eastAsia="Arial" w:hAnsi="Arial"/>
                <w:sz w:val="16"/>
                <w:szCs w:val="16"/>
                <w:b w:val="1"/>
                <w:bCs w:val="1"/>
                <w:color w:val="auto"/>
              </w:rPr>
              <w:t>PART I. FINANCIAL INFORMATION</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760" w:type="dxa"/>
            <w:vAlign w:val="bottom"/>
            <w:gridSpan w:val="7"/>
          </w:tcPr>
          <w:p>
            <w:pPr>
              <w:spacing w:after="0"/>
              <w:rPr>
                <w:sz w:val="20"/>
                <w:szCs w:val="20"/>
                <w:color w:val="auto"/>
              </w:rPr>
            </w:pPr>
            <w:r>
              <w:rPr>
                <w:rFonts w:ascii="Arial" w:cs="Arial" w:eastAsia="Arial" w:hAnsi="Arial"/>
                <w:sz w:val="16"/>
                <w:szCs w:val="16"/>
                <w:b w:val="1"/>
                <w:bCs w:val="1"/>
                <w:color w:val="auto"/>
              </w:rPr>
              <w:t>Item 1. Financial Statements</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720" w:type="dxa"/>
            <w:vAlign w:val="bottom"/>
          </w:tcPr>
          <w:p>
            <w:pPr>
              <w:jc w:val="center"/>
              <w:ind w:left="359"/>
              <w:spacing w:after="0"/>
              <w:rPr>
                <w:sz w:val="20"/>
                <w:szCs w:val="20"/>
                <w:color w:val="auto"/>
              </w:rPr>
            </w:pPr>
            <w:r>
              <w:rPr>
                <w:rFonts w:ascii="Arial" w:cs="Arial" w:eastAsia="Arial" w:hAnsi="Arial"/>
                <w:sz w:val="16"/>
                <w:szCs w:val="16"/>
                <w:b w:val="1"/>
                <w:bCs w:val="1"/>
                <w:color w:val="auto"/>
              </w:rPr>
              <w:t>RED RIVER BANCSHARES, INC.</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720" w:type="dxa"/>
            <w:vAlign w:val="bottom"/>
          </w:tcPr>
          <w:p>
            <w:pPr>
              <w:jc w:val="center"/>
              <w:ind w:left="359"/>
              <w:spacing w:after="0"/>
              <w:rPr>
                <w:sz w:val="20"/>
                <w:szCs w:val="20"/>
                <w:color w:val="auto"/>
              </w:rPr>
            </w:pPr>
            <w:r>
              <w:rPr>
                <w:rFonts w:ascii="Arial" w:cs="Arial" w:eastAsia="Arial" w:hAnsi="Arial"/>
                <w:sz w:val="16"/>
                <w:szCs w:val="16"/>
                <w:b w:val="1"/>
                <w:bCs w:val="1"/>
                <w:color w:val="auto"/>
              </w:rPr>
              <w:t>CONSOLIDATED BALANCE SHEETS (UNAUDITED)</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740" w:type="dxa"/>
            <w:vAlign w:val="bottom"/>
            <w:gridSpan w:val="6"/>
            <w:vMerge w:val="restart"/>
          </w:tcPr>
          <w:p>
            <w:pPr>
              <w:spacing w:after="0"/>
              <w:rPr>
                <w:sz w:val="20"/>
                <w:szCs w:val="20"/>
                <w:color w:val="auto"/>
              </w:rPr>
            </w:pPr>
            <w:r>
              <w:rPr>
                <w:rFonts w:ascii="Arial" w:cs="Arial" w:eastAsia="Arial" w:hAnsi="Arial"/>
                <w:sz w:val="16"/>
                <w:szCs w:val="16"/>
                <w:i w:val="1"/>
                <w:iCs w:val="1"/>
                <w:color w:val="auto"/>
              </w:rPr>
              <w:t>(in thousands, except share amounts)</w:t>
            </w:r>
          </w:p>
        </w:tc>
        <w:tc>
          <w:tcPr>
            <w:tcW w:w="280" w:type="dxa"/>
            <w:vAlign w:val="bottom"/>
          </w:tcPr>
          <w:p>
            <w:pPr>
              <w:spacing w:after="0"/>
              <w:rPr>
                <w:sz w:val="22"/>
                <w:szCs w:val="22"/>
                <w:color w:val="auto"/>
              </w:rPr>
            </w:pPr>
          </w:p>
        </w:tc>
        <w:tc>
          <w:tcPr>
            <w:tcW w:w="152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22"/>
                <w:szCs w:val="22"/>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7740" w:type="dxa"/>
            <w:vAlign w:val="bottom"/>
            <w:tcBorders>
              <w:bottom w:val="single" w:sz="8" w:color="CCEEFF"/>
            </w:tcBorders>
            <w:gridSpan w:val="6"/>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7740" w:type="dxa"/>
            <w:vAlign w:val="bottom"/>
            <w:gridSpan w:val="6"/>
            <w:shd w:val="clear" w:color="auto" w:fill="CCEEFF"/>
          </w:tcPr>
          <w:p>
            <w:pPr>
              <w:spacing w:after="0" w:line="155" w:lineRule="exact"/>
              <w:rPr>
                <w:sz w:val="20"/>
                <w:szCs w:val="20"/>
                <w:color w:val="auto"/>
              </w:rPr>
            </w:pPr>
            <w:r>
              <w:rPr>
                <w:rFonts w:ascii="Arial" w:cs="Arial" w:eastAsia="Arial" w:hAnsi="Arial"/>
                <w:sz w:val="16"/>
                <w:szCs w:val="16"/>
                <w:color w:val="auto"/>
              </w:rPr>
              <w:t>ASSETS</w:t>
            </w:r>
          </w:p>
        </w:tc>
        <w:tc>
          <w:tcPr>
            <w:tcW w:w="2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7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7740" w:type="dxa"/>
            <w:vAlign w:val="bottom"/>
            <w:gridSpan w:val="6"/>
          </w:tcPr>
          <w:p>
            <w:pPr>
              <w:ind w:left="80"/>
              <w:spacing w:after="0"/>
              <w:rPr>
                <w:sz w:val="20"/>
                <w:szCs w:val="20"/>
                <w:color w:val="auto"/>
              </w:rPr>
            </w:pPr>
            <w:r>
              <w:rPr>
                <w:rFonts w:ascii="Arial" w:cs="Arial" w:eastAsia="Arial" w:hAnsi="Arial"/>
                <w:sz w:val="16"/>
                <w:szCs w:val="16"/>
                <w:color w:val="auto"/>
              </w:rPr>
              <w:t>Cash and due from banks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36,677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25,685</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740" w:type="dxa"/>
            <w:vAlign w:val="bottom"/>
            <w:gridSpan w:val="6"/>
            <w:shd w:val="clear" w:color="auto" w:fill="CCEEFF"/>
          </w:tcPr>
          <w:p>
            <w:pPr>
              <w:ind w:left="80"/>
              <w:spacing w:after="0"/>
              <w:rPr>
                <w:sz w:val="20"/>
                <w:szCs w:val="20"/>
                <w:color w:val="auto"/>
              </w:rPr>
            </w:pPr>
            <w:r>
              <w:rPr>
                <w:rFonts w:ascii="Arial" w:cs="Arial" w:eastAsia="Arial" w:hAnsi="Arial"/>
                <w:sz w:val="16"/>
                <w:szCs w:val="16"/>
                <w:color w:val="auto"/>
              </w:rPr>
              <w:t>Interest-bearing deposits in other banks</w:t>
            </w:r>
          </w:p>
        </w:tc>
        <w:tc>
          <w:tcPr>
            <w:tcW w:w="2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173,845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187,707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40" w:type="dxa"/>
            <w:vAlign w:val="bottom"/>
            <w:gridSpan w:val="6"/>
          </w:tcPr>
          <w:p>
            <w:pPr>
              <w:ind w:left="240"/>
              <w:spacing w:after="0"/>
              <w:rPr>
                <w:sz w:val="20"/>
                <w:szCs w:val="20"/>
                <w:color w:val="auto"/>
              </w:rPr>
            </w:pPr>
            <w:r>
              <w:rPr>
                <w:rFonts w:ascii="Arial" w:cs="Arial" w:eastAsia="Arial" w:hAnsi="Arial"/>
                <w:sz w:val="16"/>
                <w:szCs w:val="16"/>
                <w:color w:val="auto"/>
              </w:rPr>
              <w:t>Total Cash and Cash Equivalents</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210,522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213,392</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740" w:type="dxa"/>
            <w:vAlign w:val="bottom"/>
            <w:gridSpan w:val="6"/>
            <w:shd w:val="clear" w:color="auto" w:fill="CCEEFF"/>
          </w:tcPr>
          <w:p>
            <w:pPr>
              <w:ind w:left="80"/>
              <w:spacing w:after="0"/>
              <w:rPr>
                <w:sz w:val="20"/>
                <w:szCs w:val="20"/>
                <w:color w:val="auto"/>
              </w:rPr>
            </w:pPr>
            <w:r>
              <w:rPr>
                <w:rFonts w:ascii="Arial" w:cs="Arial" w:eastAsia="Arial" w:hAnsi="Arial"/>
                <w:sz w:val="16"/>
                <w:szCs w:val="16"/>
                <w:color w:val="auto"/>
              </w:rPr>
              <w:t>Securities available-for-sale, at fair value (amortized cost of $685,133 and $690,485, respectively)</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638,729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647,310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40" w:type="dxa"/>
            <w:vAlign w:val="bottom"/>
            <w:gridSpan w:val="6"/>
          </w:tcPr>
          <w:p>
            <w:pPr>
              <w:ind w:left="80"/>
              <w:spacing w:after="0"/>
              <w:rPr>
                <w:sz w:val="20"/>
                <w:szCs w:val="20"/>
                <w:color w:val="auto"/>
              </w:rPr>
            </w:pPr>
            <w:r>
              <w:rPr>
                <w:rFonts w:ascii="Arial" w:cs="Arial" w:eastAsia="Arial" w:hAnsi="Arial"/>
                <w:sz w:val="16"/>
                <w:szCs w:val="16"/>
                <w:color w:val="auto"/>
              </w:rPr>
              <w:t>Securities held-to-maturity, at amortized cost (fair value of $101,917 and $104,371, respectively)</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120,609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122,619</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740" w:type="dxa"/>
            <w:vAlign w:val="bottom"/>
            <w:gridSpan w:val="6"/>
            <w:shd w:val="clear" w:color="auto" w:fill="CCEEFF"/>
          </w:tcPr>
          <w:p>
            <w:pPr>
              <w:ind w:left="80"/>
              <w:spacing w:after="0"/>
              <w:rPr>
                <w:sz w:val="20"/>
                <w:szCs w:val="20"/>
                <w:color w:val="auto"/>
              </w:rPr>
            </w:pPr>
            <w:r>
              <w:rPr>
                <w:rFonts w:ascii="Arial" w:cs="Arial" w:eastAsia="Arial" w:hAnsi="Arial"/>
                <w:sz w:val="16"/>
                <w:szCs w:val="16"/>
                <w:color w:val="auto"/>
              </w:rPr>
              <w:t>Equity securities, at fair value</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40" w:type="dxa"/>
            <w:vAlign w:val="bottom"/>
            <w:gridSpan w:val="6"/>
          </w:tcPr>
          <w:p>
            <w:pPr>
              <w:ind w:left="80"/>
              <w:spacing w:after="0"/>
              <w:rPr>
                <w:sz w:val="20"/>
                <w:szCs w:val="20"/>
                <w:color w:val="auto"/>
              </w:rPr>
            </w:pPr>
            <w:r>
              <w:rPr>
                <w:rFonts w:ascii="Arial" w:cs="Arial" w:eastAsia="Arial" w:hAnsi="Arial"/>
                <w:sz w:val="16"/>
                <w:szCs w:val="16"/>
                <w:color w:val="auto"/>
              </w:rPr>
              <w:t>Nonmarketable equity securities</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2,407</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740" w:type="dxa"/>
            <w:vAlign w:val="bottom"/>
            <w:gridSpan w:val="6"/>
            <w:shd w:val="clear" w:color="auto" w:fill="CCEEFF"/>
          </w:tcPr>
          <w:p>
            <w:pPr>
              <w:ind w:left="80"/>
              <w:spacing w:after="0"/>
              <w:rPr>
                <w:sz w:val="20"/>
                <w:szCs w:val="20"/>
                <w:color w:val="auto"/>
              </w:rPr>
            </w:pPr>
            <w:r>
              <w:rPr>
                <w:rFonts w:ascii="Arial" w:cs="Arial" w:eastAsia="Arial" w:hAnsi="Arial"/>
                <w:sz w:val="16"/>
                <w:szCs w:val="16"/>
                <w:color w:val="auto"/>
              </w:rPr>
              <w:t>Loans held for sale</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40" w:type="dxa"/>
            <w:vAlign w:val="bottom"/>
            <w:gridSpan w:val="6"/>
          </w:tcPr>
          <w:p>
            <w:pPr>
              <w:ind w:left="80"/>
              <w:spacing w:after="0"/>
              <w:rPr>
                <w:sz w:val="20"/>
                <w:szCs w:val="20"/>
                <w:color w:val="auto"/>
              </w:rPr>
            </w:pPr>
            <w:r>
              <w:rPr>
                <w:rFonts w:ascii="Arial" w:cs="Arial" w:eastAsia="Arial" w:hAnsi="Arial"/>
                <w:sz w:val="16"/>
                <w:szCs w:val="16"/>
                <w:color w:val="auto"/>
              </w:rPr>
              <w:t>Loans held for investment</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2,254,546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2,248,669</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740" w:type="dxa"/>
            <w:vAlign w:val="bottom"/>
            <w:gridSpan w:val="6"/>
            <w:shd w:val="clear" w:color="auto" w:fill="CCEEFF"/>
          </w:tcPr>
          <w:p>
            <w:pPr>
              <w:ind w:left="200"/>
              <w:spacing w:after="0"/>
              <w:rPr>
                <w:sz w:val="20"/>
                <w:szCs w:val="20"/>
                <w:color w:val="auto"/>
              </w:rPr>
            </w:pPr>
            <w:r>
              <w:rPr>
                <w:rFonts w:ascii="Arial" w:cs="Arial" w:eastAsia="Arial" w:hAnsi="Arial"/>
                <w:sz w:val="16"/>
                <w:szCs w:val="16"/>
                <w:color w:val="auto"/>
              </w:rPr>
              <w:t>Less: Allowance for credit losses</w:t>
            </w:r>
          </w:p>
        </w:tc>
        <w:tc>
          <w:tcPr>
            <w:tcW w:w="2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(24,051)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40" w:type="dxa"/>
            <w:vAlign w:val="bottom"/>
            <w:gridSpan w:val="6"/>
          </w:tcPr>
          <w:p>
            <w:pPr>
              <w:ind w:left="300"/>
              <w:spacing w:after="0"/>
              <w:rPr>
                <w:sz w:val="20"/>
                <w:szCs w:val="20"/>
                <w:color w:val="auto"/>
              </w:rPr>
            </w:pPr>
            <w:r>
              <w:rPr>
                <w:rFonts w:ascii="Arial" w:cs="Arial" w:eastAsia="Arial" w:hAnsi="Arial"/>
                <w:sz w:val="16"/>
                <w:szCs w:val="16"/>
                <w:color w:val="auto"/>
              </w:rPr>
              <w:t>Loans held for investment, net</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2,230,495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2,225,270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740" w:type="dxa"/>
            <w:vAlign w:val="bottom"/>
            <w:gridSpan w:val="6"/>
            <w:shd w:val="clear" w:color="auto" w:fill="CCEEFF"/>
          </w:tcPr>
          <w:p>
            <w:pPr>
              <w:ind w:left="80"/>
              <w:spacing w:after="0"/>
              <w:rPr>
                <w:sz w:val="20"/>
                <w:szCs w:val="20"/>
                <w:color w:val="auto"/>
              </w:rPr>
            </w:pPr>
            <w:r>
              <w:rPr>
                <w:rFonts w:ascii="Arial" w:cs="Arial" w:eastAsia="Arial" w:hAnsi="Arial"/>
                <w:sz w:val="16"/>
                <w:szCs w:val="16"/>
                <w:color w:val="auto"/>
              </w:rPr>
              <w:t>Premises and equipment, net</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59,270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40" w:type="dxa"/>
            <w:vAlign w:val="bottom"/>
            <w:gridSpan w:val="6"/>
          </w:tcPr>
          <w:p>
            <w:pPr>
              <w:ind w:left="80"/>
              <w:spacing w:after="0"/>
              <w:rPr>
                <w:sz w:val="20"/>
                <w:szCs w:val="20"/>
                <w:color w:val="auto"/>
              </w:rPr>
            </w:pPr>
            <w:r>
              <w:rPr>
                <w:rFonts w:ascii="Arial" w:cs="Arial" w:eastAsia="Arial" w:hAnsi="Arial"/>
                <w:sz w:val="16"/>
                <w:szCs w:val="16"/>
                <w:color w:val="auto"/>
              </w:rPr>
              <w:t>Accrued interest receivable</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11,352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11,131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740" w:type="dxa"/>
            <w:vAlign w:val="bottom"/>
            <w:gridSpan w:val="6"/>
            <w:shd w:val="clear" w:color="auto" w:fill="CCEEFF"/>
          </w:tcPr>
          <w:p>
            <w:pPr>
              <w:ind w:left="80"/>
              <w:spacing w:after="0"/>
              <w:rPr>
                <w:sz w:val="20"/>
                <w:szCs w:val="20"/>
                <w:color w:val="auto"/>
              </w:rPr>
            </w:pPr>
            <w:r>
              <w:rPr>
                <w:rFonts w:ascii="Arial" w:cs="Arial" w:eastAsia="Arial" w:hAnsi="Arial"/>
                <w:sz w:val="16"/>
                <w:szCs w:val="16"/>
                <w:color w:val="auto"/>
              </w:rPr>
              <w:t>Bank-owned life insurance</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40" w:type="dxa"/>
            <w:vAlign w:val="bottom"/>
            <w:gridSpan w:val="6"/>
          </w:tcPr>
          <w:p>
            <w:pPr>
              <w:ind w:left="80"/>
              <w:spacing w:after="0"/>
              <w:rPr>
                <w:sz w:val="20"/>
                <w:szCs w:val="20"/>
                <w:color w:val="auto"/>
              </w:rPr>
            </w:pPr>
            <w:r>
              <w:rPr>
                <w:rFonts w:ascii="Arial" w:cs="Arial" w:eastAsia="Arial" w:hAnsi="Arial"/>
                <w:sz w:val="16"/>
                <w:szCs w:val="16"/>
                <w:color w:val="auto"/>
              </w:rPr>
              <w:t>Intangible assets</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1,546</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740" w:type="dxa"/>
            <w:vAlign w:val="bottom"/>
            <w:gridSpan w:val="6"/>
            <w:shd w:val="clear" w:color="auto" w:fill="CCEEFF"/>
          </w:tcPr>
          <w:p>
            <w:pPr>
              <w:ind w:left="80"/>
              <w:spacing w:after="0"/>
              <w:rPr>
                <w:sz w:val="20"/>
                <w:szCs w:val="20"/>
                <w:color w:val="auto"/>
              </w:rPr>
            </w:pPr>
            <w:r>
              <w:rPr>
                <w:rFonts w:ascii="Arial" w:cs="Arial" w:eastAsia="Arial" w:hAnsi="Arial"/>
                <w:sz w:val="16"/>
                <w:szCs w:val="16"/>
                <w:color w:val="auto"/>
              </w:rPr>
              <w:t>Right-of-use assets</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7740" w:type="dxa"/>
            <w:vAlign w:val="bottom"/>
            <w:tcBorders>
              <w:bottom w:val="single" w:sz="8" w:color="CCEEFF"/>
            </w:tcBorders>
            <w:gridSpan w:val="6"/>
          </w:tcPr>
          <w:p>
            <w:pPr>
              <w:ind w:left="8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30,548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29,032</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7740" w:type="dxa"/>
            <w:vAlign w:val="bottom"/>
            <w:tcBorders>
              <w:bottom w:val="single" w:sz="8" w:color="CCEEFF"/>
            </w:tcBorders>
            <w:gridSpan w:val="6"/>
            <w:shd w:val="clear" w:color="auto" w:fill="CCEEFF"/>
          </w:tcPr>
          <w:p>
            <w:pPr>
              <w:ind w:left="24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3,346,600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3,350,910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740" w:type="dxa"/>
            <w:vAlign w:val="bottom"/>
            <w:tcBorders>
              <w:top w:val="single" w:sz="8" w:color="CCEEFF"/>
              <w:bottom w:val="single" w:sz="8" w:color="CCEEFF"/>
            </w:tcBorders>
            <w:gridSpan w:val="6"/>
            <w:vMerge w:val="restart"/>
          </w:tcPr>
          <w:p>
            <w:pPr>
              <w:spacing w:after="0" w:line="162" w:lineRule="exact"/>
              <w:rPr>
                <w:sz w:val="20"/>
                <w:szCs w:val="20"/>
                <w:color w:val="auto"/>
              </w:rPr>
            </w:pPr>
            <w:r>
              <w:rPr>
                <w:rFonts w:ascii="Arial" w:cs="Arial" w:eastAsia="Arial" w:hAnsi="Arial"/>
                <w:sz w:val="16"/>
                <w:szCs w:val="16"/>
                <w:color w:val="auto"/>
              </w:rPr>
              <w:t>LIABILITIES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7740" w:type="dxa"/>
            <w:vAlign w:val="bottom"/>
            <w:gridSpan w:val="6"/>
            <w:vMerge w:val="continue"/>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740" w:type="dxa"/>
            <w:vAlign w:val="bottom"/>
            <w:gridSpan w:val="6"/>
            <w:shd w:val="clear" w:color="auto" w:fill="CCEEFF"/>
          </w:tcPr>
          <w:p>
            <w:pPr>
              <w:ind w:left="80"/>
              <w:spacing w:after="0"/>
              <w:rPr>
                <w:sz w:val="20"/>
                <w:szCs w:val="20"/>
                <w:color w:val="auto"/>
              </w:rPr>
            </w:pPr>
            <w:r>
              <w:rPr>
                <w:rFonts w:ascii="Arial" w:cs="Arial" w:eastAsia="Arial" w:hAnsi="Arial"/>
                <w:sz w:val="16"/>
                <w:szCs w:val="16"/>
                <w:color w:val="auto"/>
              </w:rPr>
              <w:t>Noninterest-bearing deposits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916,413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913,868</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7740" w:type="dxa"/>
            <w:vAlign w:val="bottom"/>
            <w:tcBorders>
              <w:bottom w:val="single" w:sz="8" w:color="CCEEFF"/>
            </w:tcBorders>
            <w:gridSpan w:val="6"/>
          </w:tcPr>
          <w:p>
            <w:pPr>
              <w:ind w:left="80"/>
              <w:spacing w:after="0"/>
              <w:rPr>
                <w:sz w:val="20"/>
                <w:szCs w:val="20"/>
                <w:color w:val="auto"/>
              </w:rPr>
            </w:pPr>
            <w:r>
              <w:rPr>
                <w:rFonts w:ascii="Arial" w:cs="Arial" w:eastAsia="Arial" w:hAnsi="Arial"/>
                <w:sz w:val="16"/>
                <w:szCs w:val="16"/>
                <w:color w:val="auto"/>
              </w:rPr>
              <w:t>Interest-bearing deposits</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2,029,522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2,049,544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740" w:type="dxa"/>
            <w:vAlign w:val="bottom"/>
            <w:gridSpan w:val="6"/>
            <w:shd w:val="clear" w:color="auto" w:fill="CCEEFF"/>
          </w:tcPr>
          <w:p>
            <w:pPr>
              <w:ind w:left="240"/>
              <w:spacing w:after="0"/>
              <w:rPr>
                <w:sz w:val="20"/>
                <w:szCs w:val="20"/>
                <w:color w:val="auto"/>
              </w:rPr>
            </w:pPr>
            <w:r>
              <w:rPr>
                <w:rFonts w:ascii="Arial" w:cs="Arial" w:eastAsia="Arial" w:hAnsi="Arial"/>
                <w:sz w:val="16"/>
                <w:szCs w:val="16"/>
                <w:color w:val="auto"/>
              </w:rPr>
              <w:t>Total Deposits</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2,945,935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2,963,412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40" w:type="dxa"/>
            <w:vAlign w:val="bottom"/>
            <w:gridSpan w:val="6"/>
          </w:tcPr>
          <w:p>
            <w:pPr>
              <w:ind w:left="80"/>
              <w:spacing w:after="0"/>
              <w:rPr>
                <w:sz w:val="20"/>
                <w:szCs w:val="20"/>
                <w:color w:val="auto"/>
              </w:rPr>
            </w:pPr>
            <w:r>
              <w:rPr>
                <w:rFonts w:ascii="Arial" w:cs="Arial" w:eastAsia="Arial" w:hAnsi="Arial"/>
                <w:sz w:val="16"/>
                <w:szCs w:val="16"/>
                <w:color w:val="auto"/>
              </w:rPr>
              <w:t>Accrued interest payable</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6,025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6,128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740" w:type="dxa"/>
            <w:vAlign w:val="bottom"/>
            <w:gridSpan w:val="6"/>
            <w:shd w:val="clear" w:color="auto" w:fill="CCEEFF"/>
          </w:tcPr>
          <w:p>
            <w:pPr>
              <w:ind w:left="80"/>
              <w:spacing w:after="0"/>
              <w:rPr>
                <w:sz w:val="20"/>
                <w:szCs w:val="20"/>
                <w:color w:val="auto"/>
              </w:rPr>
            </w:pPr>
            <w:r>
              <w:rPr>
                <w:rFonts w:ascii="Arial" w:cs="Arial" w:eastAsia="Arial" w:hAnsi="Arial"/>
                <w:sz w:val="16"/>
                <w:szCs w:val="16"/>
                <w:color w:val="auto"/>
              </w:rPr>
              <w:t>Lease liabilities</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1,544</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7740" w:type="dxa"/>
            <w:vAlign w:val="bottom"/>
            <w:tcBorders>
              <w:bottom w:val="single" w:sz="8" w:color="CCEEFF"/>
            </w:tcBorders>
            <w:gridSpan w:val="6"/>
          </w:tcPr>
          <w:p>
            <w:pPr>
              <w:ind w:left="80"/>
              <w:spacing w:after="0"/>
              <w:rPr>
                <w:sz w:val="20"/>
                <w:szCs w:val="20"/>
                <w:color w:val="auto"/>
              </w:rPr>
            </w:pPr>
            <w:r>
              <w:rPr>
                <w:rFonts w:ascii="Arial" w:cs="Arial" w:eastAsia="Arial" w:hAnsi="Arial"/>
                <w:sz w:val="16"/>
                <w:szCs w:val="16"/>
                <w:color w:val="auto"/>
              </w:rPr>
              <w:t>Accrued expenses and other liabilities</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19,849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14,676</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7740" w:type="dxa"/>
            <w:vAlign w:val="bottom"/>
            <w:gridSpan w:val="6"/>
            <w:shd w:val="clear" w:color="auto" w:fill="CCEEFF"/>
          </w:tcPr>
          <w:p>
            <w:pPr>
              <w:ind w:left="24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2,973,274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2,985,760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40" w:type="dxa"/>
            <w:vAlign w:val="bottom"/>
            <w:gridSpan w:val="6"/>
          </w:tcPr>
          <w:p>
            <w:pPr>
              <w:spacing w:after="0" w:line="169" w:lineRule="exact"/>
              <w:rPr>
                <w:sz w:val="20"/>
                <w:szCs w:val="20"/>
                <w:color w:val="auto"/>
              </w:rPr>
            </w:pPr>
            <w:r>
              <w:rPr>
                <w:rFonts w:ascii="Arial" w:cs="Arial" w:eastAsia="Arial" w:hAnsi="Arial"/>
                <w:sz w:val="16"/>
                <w:szCs w:val="16"/>
                <w:color w:val="auto"/>
              </w:rPr>
              <w:t>COMMITMENTS AND CONTINGENCIES</w:t>
            </w:r>
          </w:p>
        </w:tc>
        <w:tc>
          <w:tcPr>
            <w:tcW w:w="280" w:type="dxa"/>
            <w:vAlign w:val="bottom"/>
          </w:tcPr>
          <w:p>
            <w:pPr>
              <w:spacing w:after="0"/>
              <w:rPr>
                <w:sz w:val="14"/>
                <w:szCs w:val="14"/>
                <w:color w:val="auto"/>
              </w:rPr>
            </w:pPr>
          </w:p>
        </w:tc>
        <w:tc>
          <w:tcPr>
            <w:tcW w:w="140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7740" w:type="dxa"/>
            <w:vAlign w:val="bottom"/>
            <w:gridSpan w:val="6"/>
            <w:shd w:val="clear" w:color="auto" w:fill="CCEEFF"/>
          </w:tcPr>
          <w:p>
            <w:pPr>
              <w:spacing w:after="0" w:line="175" w:lineRule="exact"/>
              <w:rPr>
                <w:sz w:val="20"/>
                <w:szCs w:val="20"/>
                <w:color w:val="auto"/>
              </w:rPr>
            </w:pPr>
            <w:r>
              <w:rPr>
                <w:rFonts w:ascii="Arial" w:cs="Arial" w:eastAsia="Arial" w:hAnsi="Arial"/>
                <w:sz w:val="16"/>
                <w:szCs w:val="16"/>
                <w:color w:val="auto"/>
              </w:rPr>
              <w:t>STOCKHOLDERS’ EQUITY</w:t>
            </w:r>
          </w:p>
        </w:tc>
        <w:tc>
          <w:tcPr>
            <w:tcW w:w="2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7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7740" w:type="dxa"/>
            <w:vAlign w:val="bottom"/>
            <w:gridSpan w:val="6"/>
          </w:tcPr>
          <w:p>
            <w:pPr>
              <w:spacing w:after="0"/>
              <w:rPr>
                <w:sz w:val="20"/>
                <w:szCs w:val="20"/>
                <w:color w:val="auto"/>
              </w:rPr>
            </w:pPr>
            <w:r>
              <w:rPr>
                <w:rFonts w:ascii="Arial" w:cs="Arial" w:eastAsia="Arial" w:hAnsi="Arial"/>
                <w:sz w:val="16"/>
                <w:szCs w:val="16"/>
                <w:color w:val="auto"/>
              </w:rPr>
              <w:t>Preferred stock, no par value: Authorized - 1,000,000 shares; None Issued and Outstanding</w:t>
            </w:r>
          </w:p>
        </w:tc>
        <w:tc>
          <w:tcPr>
            <w:tcW w:w="2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7740" w:type="dxa"/>
            <w:vAlign w:val="bottom"/>
            <w:gridSpan w:val="6"/>
            <w:shd w:val="clear" w:color="auto" w:fill="CCEEFF"/>
          </w:tcPr>
          <w:p>
            <w:pPr>
              <w:spacing w:after="0" w:line="163" w:lineRule="exact"/>
              <w:rPr>
                <w:sz w:val="20"/>
                <w:szCs w:val="20"/>
                <w:color w:val="auto"/>
              </w:rPr>
            </w:pPr>
            <w:r>
              <w:rPr>
                <w:rFonts w:ascii="Arial" w:cs="Arial" w:eastAsia="Arial" w:hAnsi="Arial"/>
                <w:sz w:val="16"/>
                <w:szCs w:val="16"/>
                <w:color w:val="auto"/>
              </w:rPr>
              <w:t>Common stock, no par value: Authorized - 30,000,000 shares; Issued and Outstanding - 6,577,186 and</w:t>
            </w:r>
          </w:p>
        </w:tc>
        <w:tc>
          <w:tcPr>
            <w:tcW w:w="28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27,591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27,543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740" w:type="dxa"/>
            <w:vAlign w:val="bottom"/>
            <w:gridSpan w:val="6"/>
            <w:shd w:val="clear" w:color="auto" w:fill="CCEEFF"/>
          </w:tcPr>
          <w:p>
            <w:pPr>
              <w:ind w:left="160"/>
              <w:spacing w:after="0"/>
              <w:rPr>
                <w:sz w:val="20"/>
                <w:szCs w:val="20"/>
                <w:color w:val="auto"/>
              </w:rPr>
            </w:pPr>
            <w:r>
              <w:rPr>
                <w:rFonts w:ascii="Arial" w:cs="Arial" w:eastAsia="Arial" w:hAnsi="Arial"/>
                <w:sz w:val="16"/>
                <w:szCs w:val="16"/>
                <w:color w:val="auto"/>
              </w:rPr>
              <w:t>6,576,609 shares, respectively</w:t>
            </w:r>
          </w:p>
        </w:tc>
        <w:tc>
          <w:tcPr>
            <w:tcW w:w="28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40" w:type="dxa"/>
            <w:vAlign w:val="bottom"/>
            <w:gridSpan w:val="6"/>
          </w:tcPr>
          <w:p>
            <w:pPr>
              <w:ind w:left="8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3,217</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740" w:type="dxa"/>
            <w:vAlign w:val="bottom"/>
            <w:gridSpan w:val="6"/>
            <w:shd w:val="clear" w:color="auto" w:fill="CCEEFF"/>
          </w:tcPr>
          <w:p>
            <w:pPr>
              <w:ind w:left="80"/>
              <w:spacing w:after="0"/>
              <w:rPr>
                <w:sz w:val="20"/>
                <w:szCs w:val="20"/>
                <w:color w:val="auto"/>
              </w:rPr>
            </w:pPr>
            <w:r>
              <w:rPr>
                <w:rFonts w:ascii="Arial" w:cs="Arial" w:eastAsia="Arial" w:hAnsi="Arial"/>
                <w:sz w:val="16"/>
                <w:szCs w:val="16"/>
                <w:color w:val="auto"/>
              </w:rPr>
              <w:t>Retained earnings</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388,058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377,731</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7740" w:type="dxa"/>
            <w:vAlign w:val="bottom"/>
            <w:tcBorders>
              <w:bottom w:val="single" w:sz="8" w:color="CCEEFF"/>
            </w:tcBorders>
            <w:gridSpan w:val="6"/>
          </w:tcPr>
          <w:p>
            <w:pPr>
              <w:ind w:left="80"/>
              <w:spacing w:after="0"/>
              <w:rPr>
                <w:sz w:val="20"/>
                <w:szCs w:val="20"/>
                <w:color w:val="auto"/>
              </w:rPr>
            </w:pPr>
            <w:r>
              <w:rPr>
                <w:rFonts w:ascii="Arial" w:cs="Arial" w:eastAsia="Arial" w:hAnsi="Arial"/>
                <w:sz w:val="16"/>
                <w:szCs w:val="16"/>
                <w:color w:val="auto"/>
              </w:rPr>
              <w:t>Accumulated other comprehensive income (loss)</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(45,652)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(43,341)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740" w:type="dxa"/>
            <w:vAlign w:val="bottom"/>
            <w:gridSpan w:val="6"/>
            <w:shd w:val="clear" w:color="auto" w:fill="CCEEFF"/>
          </w:tcPr>
          <w:p>
            <w:pPr>
              <w:ind w:left="24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373,326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365,150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gridSpan w:val="6"/>
          </w:tcPr>
          <w:p>
            <w:pPr>
              <w:ind w:left="380"/>
              <w:spacing w:after="0"/>
              <w:rPr>
                <w:sz w:val="20"/>
                <w:szCs w:val="20"/>
                <w:color w:val="auto"/>
              </w:rPr>
            </w:pPr>
            <w:r>
              <w:rPr>
                <w:rFonts w:ascii="Arial" w:cs="Arial" w:eastAsia="Arial" w:hAnsi="Arial"/>
                <w:sz w:val="16"/>
                <w:szCs w:val="16"/>
                <w:b w:val="1"/>
                <w:bCs w:val="1"/>
                <w:color w:val="auto"/>
              </w:rPr>
              <w:t>Total Liabilities and Stockholders’ Equity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3,346,600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3,350,910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8620" w:type="dxa"/>
            <w:vAlign w:val="bottom"/>
            <w:gridSpan w:val="7"/>
          </w:tcPr>
          <w:p>
            <w:pPr>
              <w:spacing w:after="0"/>
              <w:rPr>
                <w:sz w:val="20"/>
                <w:szCs w:val="20"/>
                <w:color w:val="auto"/>
              </w:rPr>
            </w:pPr>
            <w:r>
              <w:rPr>
                <w:rFonts w:ascii="Arial" w:cs="Arial" w:eastAsia="Arial" w:hAnsi="Arial"/>
                <w:sz w:val="16"/>
                <w:szCs w:val="16"/>
                <w:color w:val="0000FF"/>
              </w:rPr>
              <w:t>Table of Contents</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4"/>
        </w:trPr>
        <w:tc>
          <w:tcPr>
            <w:tcW w:w="2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900" w:type="dxa"/>
            <w:vAlign w:val="bottom"/>
          </w:tcPr>
          <w:p>
            <w:pPr>
              <w:jc w:val="center"/>
              <w:ind w:right="19"/>
              <w:spacing w:after="0"/>
              <w:rPr>
                <w:sz w:val="20"/>
                <w:szCs w:val="20"/>
                <w:color w:val="auto"/>
              </w:rPr>
            </w:pPr>
            <w:r>
              <w:rPr>
                <w:rFonts w:ascii="Arial" w:cs="Arial" w:eastAsia="Arial" w:hAnsi="Arial"/>
                <w:sz w:val="16"/>
                <w:szCs w:val="16"/>
                <w:b w:val="1"/>
                <w:bCs w:val="1"/>
                <w:color w:val="auto"/>
              </w:rPr>
              <w:t>RED RIVER BANCSHARES, INC.</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900" w:type="dxa"/>
            <w:vAlign w:val="bottom"/>
          </w:tcPr>
          <w:p>
            <w:pPr>
              <w:jc w:val="center"/>
              <w:ind w:right="19"/>
              <w:spacing w:after="0"/>
              <w:rPr>
                <w:sz w:val="20"/>
                <w:szCs w:val="20"/>
                <w:color w:val="auto"/>
              </w:rPr>
            </w:pPr>
            <w:r>
              <w:rPr>
                <w:rFonts w:ascii="Arial" w:cs="Arial" w:eastAsia="Arial" w:hAnsi="Arial"/>
                <w:sz w:val="16"/>
                <w:szCs w:val="16"/>
                <w:b w:val="1"/>
                <w:bCs w:val="1"/>
                <w:color w:val="auto"/>
              </w:rPr>
              <w:t>CONSOLIDATED STATEMENTS OF INCOME (UNAUDITED)</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6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8600" w:type="dxa"/>
            <w:vAlign w:val="bottom"/>
            <w:tcBorders>
              <w:bottom w:val="single" w:sz="8" w:color="CCEEFF"/>
            </w:tcBorders>
            <w:gridSpan w:val="6"/>
          </w:tcPr>
          <w:p>
            <w:pPr>
              <w:spacing w:after="0"/>
              <w:rPr>
                <w:sz w:val="20"/>
                <w:szCs w:val="20"/>
                <w:color w:val="auto"/>
              </w:rPr>
            </w:pPr>
            <w:r>
              <w:rPr>
                <w:rFonts w:ascii="Arial" w:cs="Arial" w:eastAsia="Arial" w:hAnsi="Arial"/>
                <w:sz w:val="16"/>
                <w:szCs w:val="16"/>
                <w:i w:val="1"/>
                <w:iCs w:val="1"/>
                <w:color w:val="auto"/>
              </w:rPr>
              <w:t>(in thousands, except per share data)</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600" w:type="dxa"/>
            <w:vAlign w:val="bottom"/>
            <w:gridSpan w:val="6"/>
            <w:shd w:val="clear" w:color="auto" w:fill="CCEEFF"/>
          </w:tcPr>
          <w:p>
            <w:pPr>
              <w:spacing w:after="0" w:line="155" w:lineRule="exact"/>
              <w:rPr>
                <w:sz w:val="20"/>
                <w:szCs w:val="20"/>
                <w:color w:val="auto"/>
              </w:rPr>
            </w:pPr>
            <w:r>
              <w:rPr>
                <w:rFonts w:ascii="Arial" w:cs="Arial" w:eastAsia="Arial" w:hAnsi="Arial"/>
                <w:sz w:val="16"/>
                <w:szCs w:val="16"/>
                <w:color w:val="auto"/>
              </w:rPr>
              <w:t>INTEREST AND DIVIDEND INCOME</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2700" w:type="dxa"/>
            <w:vAlign w:val="bottom"/>
            <w:tcBorders>
              <w:top w:val="single" w:sz="8" w:color="auto"/>
            </w:tcBorders>
            <w:gridSpan w:val="5"/>
          </w:tcPr>
          <w:p>
            <w:pPr>
              <w:ind w:left="120"/>
              <w:spacing w:after="0"/>
              <w:rPr>
                <w:sz w:val="20"/>
                <w:szCs w:val="20"/>
                <w:color w:val="auto"/>
              </w:rPr>
            </w:pPr>
            <w:r>
              <w:rPr>
                <w:rFonts w:ascii="Arial" w:cs="Arial" w:eastAsia="Arial" w:hAnsi="Arial"/>
                <w:sz w:val="16"/>
                <w:szCs w:val="16"/>
                <w:color w:val="auto"/>
              </w:rPr>
              <w:t>Interest and fees on loans</w:t>
            </w:r>
          </w:p>
        </w:tc>
        <w:tc>
          <w:tcPr>
            <w:tcW w:w="5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31,545</w:t>
            </w: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28,270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8600" w:type="dxa"/>
            <w:vAlign w:val="bottom"/>
            <w:gridSpan w:val="6"/>
            <w:shd w:val="clear" w:color="auto" w:fill="CCEEFF"/>
          </w:tcPr>
          <w:p>
            <w:pPr>
              <w:ind w:left="120"/>
              <w:spacing w:after="0"/>
              <w:rPr>
                <w:sz w:val="20"/>
                <w:szCs w:val="20"/>
                <w:color w:val="auto"/>
              </w:rPr>
            </w:pPr>
            <w:r>
              <w:rPr>
                <w:rFonts w:ascii="Arial" w:cs="Arial" w:eastAsia="Arial" w:hAnsi="Arial"/>
                <w:sz w:val="16"/>
                <w:szCs w:val="16"/>
                <w:color w:val="auto"/>
              </w:rPr>
              <w:t>Interest on securities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00" w:type="dxa"/>
            <w:vAlign w:val="bottom"/>
            <w:gridSpan w:val="6"/>
          </w:tcPr>
          <w:p>
            <w:pPr>
              <w:ind w:left="120"/>
              <w:spacing w:after="0"/>
              <w:rPr>
                <w:sz w:val="20"/>
                <w:szCs w:val="20"/>
                <w:color w:val="auto"/>
              </w:rPr>
            </w:pPr>
            <w:r>
              <w:rPr>
                <w:rFonts w:ascii="Arial" w:cs="Arial" w:eastAsia="Arial" w:hAnsi="Arial"/>
                <w:sz w:val="16"/>
                <w:szCs w:val="16"/>
                <w:color w:val="auto"/>
              </w:rPr>
              <w:t>Interest on deposits in other banks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2,661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8600" w:type="dxa"/>
            <w:vAlign w:val="bottom"/>
            <w:gridSpan w:val="6"/>
            <w:shd w:val="clear" w:color="auto" w:fill="CCEEFF"/>
          </w:tcPr>
          <w:p>
            <w:pPr>
              <w:ind w:left="120"/>
              <w:spacing w:after="0"/>
              <w:rPr>
                <w:sz w:val="20"/>
                <w:szCs w:val="20"/>
                <w:color w:val="auto"/>
              </w:rPr>
            </w:pPr>
            <w:r>
              <w:rPr>
                <w:rFonts w:ascii="Arial" w:cs="Arial" w:eastAsia="Arial" w:hAnsi="Arial"/>
                <w:sz w:val="16"/>
                <w:szCs w:val="16"/>
                <w:color w:val="auto"/>
              </w:rPr>
              <w:t>Dividends on stock</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8600" w:type="dxa"/>
            <w:vAlign w:val="bottom"/>
            <w:tcBorders>
              <w:bottom w:val="single" w:sz="8" w:color="CCEEFF"/>
            </w:tcBorders>
            <w:gridSpan w:val="6"/>
          </w:tcPr>
          <w:p>
            <w:pPr>
              <w:ind w:left="240"/>
              <w:spacing w:after="0"/>
              <w:rPr>
                <w:sz w:val="20"/>
                <w:szCs w:val="20"/>
                <w:color w:val="auto"/>
              </w:rPr>
            </w:pPr>
            <w:r>
              <w:rPr>
                <w:rFonts w:ascii="Arial" w:cs="Arial" w:eastAsia="Arial" w:hAnsi="Arial"/>
                <w:sz w:val="16"/>
                <w:szCs w:val="16"/>
                <w:color w:val="auto"/>
              </w:rPr>
              <w:t>Total Interest and Dividend Income</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39,145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35,808</w:t>
            </w:r>
          </w:p>
        </w:tc>
        <w:tc>
          <w:tcPr>
            <w:tcW w:w="0" w:type="dxa"/>
            <w:vAlign w:val="bottom"/>
          </w:tcPr>
          <w:p>
            <w:pPr>
              <w:spacing w:after="0"/>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6"/>
                <w:szCs w:val="16"/>
                <w:color w:val="auto"/>
              </w:rPr>
              <w:t>INTEREST EXPENSE</w:t>
            </w:r>
          </w:p>
        </w:tc>
        <w:tc>
          <w:tcPr>
            <w:tcW w:w="6980" w:type="dxa"/>
            <w:vAlign w:val="bottom"/>
            <w:tcBorders>
              <w:bottom w:val="single" w:sz="8" w:color="CCEEFF"/>
            </w:tcBorders>
            <w:gridSpan w:val="4"/>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8600" w:type="dxa"/>
            <w:vAlign w:val="bottom"/>
            <w:tcBorders>
              <w:bottom w:val="single" w:sz="8" w:color="CCEEFF"/>
            </w:tcBorders>
            <w:gridSpan w:val="6"/>
          </w:tcPr>
          <w:p>
            <w:pPr>
              <w:ind w:left="120"/>
              <w:spacing w:after="0"/>
              <w:rPr>
                <w:sz w:val="20"/>
                <w:szCs w:val="20"/>
                <w:color w:val="auto"/>
              </w:rPr>
            </w:pPr>
            <w:r>
              <w:rPr>
                <w:rFonts w:ascii="Arial" w:cs="Arial" w:eastAsia="Arial" w:hAnsi="Arial"/>
                <w:sz w:val="16"/>
                <w:szCs w:val="16"/>
                <w:color w:val="auto"/>
              </w:rPr>
              <w:t>Interest on deposits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10,741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11,198</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600" w:type="dxa"/>
            <w:vAlign w:val="bottom"/>
            <w:gridSpan w:val="6"/>
            <w:shd w:val="clear" w:color="auto" w:fill="CCEEFF"/>
          </w:tcPr>
          <w:p>
            <w:pPr>
              <w:ind w:left="240"/>
              <w:spacing w:after="0"/>
              <w:rPr>
                <w:sz w:val="20"/>
                <w:szCs w:val="20"/>
                <w:color w:val="auto"/>
              </w:rPr>
            </w:pPr>
            <w:r>
              <w:rPr>
                <w:rFonts w:ascii="Arial" w:cs="Arial" w:eastAsia="Arial" w:hAnsi="Arial"/>
                <w:sz w:val="16"/>
                <w:szCs w:val="16"/>
                <w:color w:val="auto"/>
              </w:rPr>
              <w:t>Total Interest Expense</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10,741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00" w:type="dxa"/>
            <w:vAlign w:val="bottom"/>
            <w:gridSpan w:val="6"/>
          </w:tcPr>
          <w:p>
            <w:pPr>
              <w:spacing w:after="0"/>
              <w:rPr>
                <w:sz w:val="20"/>
                <w:szCs w:val="20"/>
                <w:color w:val="auto"/>
              </w:rPr>
            </w:pPr>
            <w:r>
              <w:rPr>
                <w:rFonts w:ascii="Arial" w:cs="Arial" w:eastAsia="Arial" w:hAnsi="Arial"/>
                <w:sz w:val="16"/>
                <w:szCs w:val="16"/>
                <w:b w:val="1"/>
                <w:bCs w:val="1"/>
                <w:color w:val="auto"/>
              </w:rPr>
              <w:t>Net Interest Income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28,404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24,610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600" w:type="dxa"/>
            <w:vAlign w:val="bottom"/>
            <w:gridSpan w:val="6"/>
            <w:shd w:val="clear" w:color="auto" w:fill="CCEEFF"/>
          </w:tcPr>
          <w:p>
            <w:pPr>
              <w:ind w:left="120"/>
              <w:spacing w:after="0"/>
              <w:rPr>
                <w:sz w:val="20"/>
                <w:szCs w:val="20"/>
                <w:color w:val="auto"/>
              </w:rPr>
            </w:pPr>
            <w:r>
              <w:rPr>
                <w:rFonts w:ascii="Arial" w:cs="Arial" w:eastAsia="Arial" w:hAnsi="Arial"/>
                <w:sz w:val="16"/>
                <w:szCs w:val="16"/>
                <w:color w:val="auto"/>
              </w:rPr>
              <w:t>Provision for credit losses</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8600" w:type="dxa"/>
            <w:vAlign w:val="bottom"/>
            <w:tcBorders>
              <w:bottom w:val="single" w:sz="8" w:color="CCEEFF"/>
            </w:tcBorders>
            <w:gridSpan w:val="6"/>
          </w:tcPr>
          <w:p>
            <w:pPr>
              <w:spacing w:after="0"/>
              <w:rPr>
                <w:sz w:val="20"/>
                <w:szCs w:val="20"/>
                <w:color w:val="auto"/>
              </w:rPr>
            </w:pPr>
            <w:r>
              <w:rPr>
                <w:rFonts w:ascii="Arial" w:cs="Arial" w:eastAsia="Arial" w:hAnsi="Arial"/>
                <w:sz w:val="16"/>
                <w:szCs w:val="16"/>
                <w:b w:val="1"/>
                <w:bCs w:val="1"/>
                <w:color w:val="auto"/>
              </w:rPr>
              <w:t>Net Interest Income After Provision for Credit Losses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27,654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24,160</w:t>
            </w: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auto"/>
            </w:tcBorders>
            <w:gridSpan w:val="4"/>
            <w:shd w:val="clear" w:color="auto" w:fill="CCEEFF"/>
          </w:tcPr>
          <w:p>
            <w:pPr>
              <w:spacing w:after="0" w:line="155" w:lineRule="exact"/>
              <w:rPr>
                <w:sz w:val="20"/>
                <w:szCs w:val="20"/>
                <w:color w:val="auto"/>
              </w:rPr>
            </w:pPr>
            <w:r>
              <w:rPr>
                <w:rFonts w:ascii="Arial" w:cs="Arial" w:eastAsia="Arial" w:hAnsi="Arial"/>
                <w:sz w:val="16"/>
                <w:szCs w:val="16"/>
                <w:color w:val="auto"/>
              </w:rPr>
              <w:t>NONINTEREST INCOME</w:t>
            </w:r>
          </w:p>
        </w:tc>
        <w:tc>
          <w:tcPr>
            <w:tcW w:w="6740" w:type="dxa"/>
            <w:vAlign w:val="bottom"/>
            <w:tcBorders>
              <w:bottom w:val="single" w:sz="8" w:color="CCEEFF"/>
            </w:tcBorders>
            <w:gridSpan w:val="2"/>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00" w:type="dxa"/>
            <w:vAlign w:val="bottom"/>
            <w:gridSpan w:val="6"/>
          </w:tcPr>
          <w:p>
            <w:pPr>
              <w:ind w:left="120"/>
              <w:spacing w:after="0"/>
              <w:rPr>
                <w:sz w:val="20"/>
                <w:szCs w:val="20"/>
                <w:color w:val="auto"/>
              </w:rPr>
            </w:pPr>
            <w:r>
              <w:rPr>
                <w:rFonts w:ascii="Arial" w:cs="Arial" w:eastAsia="Arial" w:hAnsi="Arial"/>
                <w:sz w:val="16"/>
                <w:szCs w:val="16"/>
                <w:color w:val="auto"/>
              </w:rPr>
              <w:t>Service charges on deposit accounts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1,383</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8600" w:type="dxa"/>
            <w:vAlign w:val="bottom"/>
            <w:gridSpan w:val="6"/>
            <w:shd w:val="clear" w:color="auto" w:fill="CCEEFF"/>
          </w:tcPr>
          <w:p>
            <w:pPr>
              <w:ind w:left="120"/>
              <w:spacing w:after="0"/>
              <w:rPr>
                <w:sz w:val="20"/>
                <w:szCs w:val="20"/>
                <w:color w:val="auto"/>
              </w:rPr>
            </w:pPr>
            <w:r>
              <w:rPr>
                <w:rFonts w:ascii="Arial" w:cs="Arial" w:eastAsia="Arial" w:hAnsi="Arial"/>
                <w:sz w:val="16"/>
                <w:szCs w:val="16"/>
                <w:color w:val="auto"/>
              </w:rPr>
              <w:t>Debit card income, net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00" w:type="dxa"/>
            <w:vAlign w:val="bottom"/>
            <w:gridSpan w:val="6"/>
          </w:tcPr>
          <w:p>
            <w:pPr>
              <w:ind w:left="120"/>
              <w:spacing w:after="0"/>
              <w:rPr>
                <w:sz w:val="20"/>
                <w:szCs w:val="20"/>
                <w:color w:val="auto"/>
              </w:rPr>
            </w:pPr>
            <w:r>
              <w:rPr>
                <w:rFonts w:ascii="Arial" w:cs="Arial" w:eastAsia="Arial" w:hAnsi="Arial"/>
                <w:sz w:val="16"/>
                <w:szCs w:val="16"/>
                <w:color w:val="auto"/>
              </w:rPr>
              <w:t>Mortgage loan income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8600" w:type="dxa"/>
            <w:vAlign w:val="bottom"/>
            <w:gridSpan w:val="6"/>
            <w:shd w:val="clear" w:color="auto" w:fill="CCEEFF"/>
          </w:tcPr>
          <w:p>
            <w:pPr>
              <w:ind w:left="120"/>
              <w:spacing w:after="0"/>
              <w:rPr>
                <w:sz w:val="20"/>
                <w:szCs w:val="20"/>
                <w:color w:val="auto"/>
              </w:rPr>
            </w:pPr>
            <w:r>
              <w:rPr>
                <w:rFonts w:ascii="Arial" w:cs="Arial" w:eastAsia="Arial" w:hAnsi="Arial"/>
                <w:sz w:val="16"/>
                <w:szCs w:val="16"/>
                <w:color w:val="auto"/>
              </w:rPr>
              <w:t>Brokerage income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00" w:type="dxa"/>
            <w:vAlign w:val="bottom"/>
            <w:gridSpan w:val="6"/>
          </w:tcPr>
          <w:p>
            <w:pPr>
              <w:ind w:left="120"/>
              <w:spacing w:after="0"/>
              <w:rPr>
                <w:sz w:val="20"/>
                <w:szCs w:val="20"/>
                <w:color w:val="auto"/>
              </w:rPr>
            </w:pPr>
            <w:r>
              <w:rPr>
                <w:rFonts w:ascii="Arial" w:cs="Arial" w:eastAsia="Arial" w:hAnsi="Arial"/>
                <w:sz w:val="16"/>
                <w:szCs w:val="16"/>
                <w:color w:val="auto"/>
              </w:rPr>
              <w:t>Loan and deposit income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8600" w:type="dxa"/>
            <w:vAlign w:val="bottom"/>
            <w:gridSpan w:val="6"/>
            <w:shd w:val="clear" w:color="auto" w:fill="CCEEFF"/>
          </w:tcPr>
          <w:p>
            <w:pPr>
              <w:ind w:left="120"/>
              <w:spacing w:after="0"/>
              <w:rPr>
                <w:sz w:val="20"/>
                <w:szCs w:val="20"/>
                <w:color w:val="auto"/>
              </w:rPr>
            </w:pPr>
            <w:r>
              <w:rPr>
                <w:rFonts w:ascii="Arial" w:cs="Arial" w:eastAsia="Arial" w:hAnsi="Arial"/>
                <w:sz w:val="16"/>
                <w:szCs w:val="16"/>
                <w:color w:val="auto"/>
              </w:rPr>
              <w:t>Bank-owned life insurance income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00" w:type="dxa"/>
            <w:vAlign w:val="bottom"/>
            <w:gridSpan w:val="6"/>
          </w:tcPr>
          <w:p>
            <w:pPr>
              <w:ind w:left="120"/>
              <w:spacing w:after="0"/>
              <w:rPr>
                <w:sz w:val="20"/>
                <w:szCs w:val="20"/>
                <w:color w:val="auto"/>
              </w:rPr>
            </w:pPr>
            <w:r>
              <w:rPr>
                <w:rFonts w:ascii="Arial" w:cs="Arial" w:eastAsia="Arial" w:hAnsi="Arial"/>
                <w:sz w:val="16"/>
                <w:szCs w:val="16"/>
                <w:color w:val="auto"/>
              </w:rPr>
              <w:t>Gain (Loss) on equity securities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8600" w:type="dxa"/>
            <w:vAlign w:val="bottom"/>
            <w:gridSpan w:val="6"/>
            <w:shd w:val="clear" w:color="auto" w:fill="CCEEFF"/>
          </w:tcPr>
          <w:p>
            <w:pPr>
              <w:ind w:left="120"/>
              <w:spacing w:after="0"/>
              <w:rPr>
                <w:sz w:val="20"/>
                <w:szCs w:val="20"/>
                <w:color w:val="auto"/>
              </w:rPr>
            </w:pPr>
            <w:r>
              <w:rPr>
                <w:rFonts w:ascii="Arial" w:cs="Arial" w:eastAsia="Arial" w:hAnsi="Arial"/>
                <w:sz w:val="16"/>
                <w:szCs w:val="16"/>
                <w:color w:val="auto"/>
              </w:rPr>
              <w:t>SBIC income (loss)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8600" w:type="dxa"/>
            <w:vAlign w:val="bottom"/>
            <w:tcBorders>
              <w:bottom w:val="single" w:sz="8" w:color="CCEEFF"/>
            </w:tcBorders>
            <w:gridSpan w:val="6"/>
          </w:tcPr>
          <w:p>
            <w:pPr>
              <w:ind w:left="120"/>
              <w:spacing w:after="0"/>
              <w:rPr>
                <w:sz w:val="20"/>
                <w:szCs w:val="20"/>
                <w:color w:val="auto"/>
              </w:rPr>
            </w:pPr>
            <w:r>
              <w:rPr>
                <w:rFonts w:ascii="Arial" w:cs="Arial" w:eastAsia="Arial" w:hAnsi="Arial"/>
                <w:sz w:val="16"/>
                <w:szCs w:val="16"/>
                <w:color w:val="auto"/>
              </w:rPr>
              <w:t>Other income (loss)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600" w:type="dxa"/>
            <w:vAlign w:val="bottom"/>
            <w:gridSpan w:val="6"/>
            <w:shd w:val="clear" w:color="auto" w:fill="CCEEFF"/>
          </w:tcPr>
          <w:p>
            <w:pPr>
              <w:ind w:left="240"/>
              <w:spacing w:after="0"/>
              <w:rPr>
                <w:sz w:val="20"/>
                <w:szCs w:val="20"/>
                <w:color w:val="auto"/>
              </w:rPr>
            </w:pPr>
            <w:r>
              <w:rPr>
                <w:rFonts w:ascii="Arial" w:cs="Arial" w:eastAsia="Arial" w:hAnsi="Arial"/>
                <w:sz w:val="16"/>
                <w:szCs w:val="16"/>
                <w:color w:val="auto"/>
              </w:rPr>
              <w:t>Total Noninterest Income</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600" w:type="dxa"/>
            <w:vAlign w:val="bottom"/>
            <w:gridSpan w:val="6"/>
          </w:tcPr>
          <w:p>
            <w:pPr>
              <w:spacing w:after="0" w:line="155" w:lineRule="exact"/>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600" w:type="dxa"/>
            <w:vAlign w:val="bottom"/>
            <w:gridSpan w:val="6"/>
            <w:shd w:val="clear" w:color="auto" w:fill="CCEEFF"/>
          </w:tcPr>
          <w:p>
            <w:pPr>
              <w:ind w:left="120"/>
              <w:spacing w:after="0"/>
              <w:rPr>
                <w:sz w:val="20"/>
                <w:szCs w:val="20"/>
                <w:color w:val="auto"/>
              </w:rPr>
            </w:pPr>
            <w:r>
              <w:rPr>
                <w:rFonts w:ascii="Arial" w:cs="Arial" w:eastAsia="Arial" w:hAnsi="Arial"/>
                <w:sz w:val="16"/>
                <w:szCs w:val="16"/>
                <w:color w:val="auto"/>
              </w:rPr>
              <w:t>Personnel expenses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00" w:type="dxa"/>
            <w:vAlign w:val="bottom"/>
            <w:gridSpan w:val="6"/>
          </w:tcPr>
          <w:p>
            <w:pPr>
              <w:ind w:left="120"/>
              <w:spacing w:after="0"/>
              <w:rPr>
                <w:sz w:val="20"/>
                <w:szCs w:val="20"/>
                <w:color w:val="auto"/>
              </w:rPr>
            </w:pPr>
            <w:r>
              <w:rPr>
                <w:rFonts w:ascii="Arial" w:cs="Arial" w:eastAsia="Arial" w:hAnsi="Arial"/>
                <w:sz w:val="16"/>
                <w:szCs w:val="16"/>
                <w:color w:val="auto"/>
              </w:rPr>
              <w:t>Occupancy and equipment expenses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1,794</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8600" w:type="dxa"/>
            <w:vAlign w:val="bottom"/>
            <w:gridSpan w:val="6"/>
            <w:shd w:val="clear" w:color="auto" w:fill="CCEEFF"/>
          </w:tcPr>
          <w:p>
            <w:pPr>
              <w:ind w:left="120"/>
              <w:spacing w:after="0"/>
              <w:rPr>
                <w:sz w:val="20"/>
                <w:szCs w:val="20"/>
                <w:color w:val="auto"/>
              </w:rPr>
            </w:pPr>
            <w:r>
              <w:rPr>
                <w:rFonts w:ascii="Arial" w:cs="Arial" w:eastAsia="Arial" w:hAnsi="Arial"/>
                <w:sz w:val="16"/>
                <w:szCs w:val="16"/>
                <w:color w:val="auto"/>
              </w:rPr>
              <w:t>Technology expenses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00" w:type="dxa"/>
            <w:vAlign w:val="bottom"/>
            <w:gridSpan w:val="6"/>
          </w:tcPr>
          <w:p>
            <w:pPr>
              <w:ind w:left="120"/>
              <w:spacing w:after="0"/>
              <w:rPr>
                <w:sz w:val="20"/>
                <w:szCs w:val="20"/>
                <w:color w:val="auto"/>
              </w:rPr>
            </w:pPr>
            <w:r>
              <w:rPr>
                <w:rFonts w:ascii="Arial" w:cs="Arial" w:eastAsia="Arial" w:hAnsi="Arial"/>
                <w:sz w:val="16"/>
                <w:szCs w:val="16"/>
                <w:color w:val="auto"/>
              </w:rPr>
              <w:t>Advertising</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8600" w:type="dxa"/>
            <w:vAlign w:val="bottom"/>
            <w:gridSpan w:val="6"/>
            <w:shd w:val="clear" w:color="auto" w:fill="CCEEFF"/>
          </w:tcPr>
          <w:p>
            <w:pPr>
              <w:ind w:left="120"/>
              <w:spacing w:after="0"/>
              <w:rPr>
                <w:sz w:val="20"/>
                <w:szCs w:val="20"/>
                <w:color w:val="auto"/>
              </w:rPr>
            </w:pPr>
            <w:r>
              <w:rPr>
                <w:rFonts w:ascii="Arial" w:cs="Arial" w:eastAsia="Arial" w:hAnsi="Arial"/>
                <w:sz w:val="16"/>
                <w:szCs w:val="16"/>
                <w:color w:val="auto"/>
              </w:rPr>
              <w:t>Other business development expenses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00" w:type="dxa"/>
            <w:vAlign w:val="bottom"/>
            <w:gridSpan w:val="6"/>
          </w:tcPr>
          <w:p>
            <w:pPr>
              <w:ind w:left="120"/>
              <w:spacing w:after="0"/>
              <w:rPr>
                <w:sz w:val="20"/>
                <w:szCs w:val="20"/>
                <w:color w:val="auto"/>
              </w:rPr>
            </w:pPr>
            <w:r>
              <w:rPr>
                <w:rFonts w:ascii="Arial" w:cs="Arial" w:eastAsia="Arial" w:hAnsi="Arial"/>
                <w:sz w:val="16"/>
                <w:szCs w:val="16"/>
                <w:color w:val="auto"/>
              </w:rPr>
              <w:t>Data processing expense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8600" w:type="dxa"/>
            <w:vAlign w:val="bottom"/>
            <w:gridSpan w:val="6"/>
            <w:shd w:val="clear" w:color="auto" w:fill="CCEEFF"/>
          </w:tcPr>
          <w:p>
            <w:pPr>
              <w:ind w:left="120"/>
              <w:spacing w:after="0"/>
              <w:rPr>
                <w:sz w:val="20"/>
                <w:szCs w:val="20"/>
                <w:color w:val="auto"/>
              </w:rPr>
            </w:pPr>
            <w:r>
              <w:rPr>
                <w:rFonts w:ascii="Arial" w:cs="Arial" w:eastAsia="Arial" w:hAnsi="Arial"/>
                <w:sz w:val="16"/>
                <w:szCs w:val="16"/>
                <w:color w:val="auto"/>
              </w:rPr>
              <w:t>Other taxes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00" w:type="dxa"/>
            <w:vAlign w:val="bottom"/>
            <w:gridSpan w:val="6"/>
          </w:tcPr>
          <w:p>
            <w:pPr>
              <w:ind w:left="120"/>
              <w:spacing w:after="0"/>
              <w:rPr>
                <w:sz w:val="20"/>
                <w:szCs w:val="20"/>
                <w:color w:val="auto"/>
              </w:rPr>
            </w:pPr>
            <w:r>
              <w:rPr>
                <w:rFonts w:ascii="Arial" w:cs="Arial" w:eastAsia="Arial" w:hAnsi="Arial"/>
                <w:sz w:val="16"/>
                <w:szCs w:val="16"/>
                <w:color w:val="auto"/>
              </w:rPr>
              <w:t>Loan and deposit expenses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8600" w:type="dxa"/>
            <w:vAlign w:val="bottom"/>
            <w:gridSpan w:val="6"/>
            <w:shd w:val="clear" w:color="auto" w:fill="CCEEFF"/>
          </w:tcPr>
          <w:p>
            <w:pPr>
              <w:ind w:left="120"/>
              <w:spacing w:after="0"/>
              <w:rPr>
                <w:sz w:val="20"/>
                <w:szCs w:val="20"/>
                <w:color w:val="auto"/>
              </w:rPr>
            </w:pPr>
            <w:r>
              <w:rPr>
                <w:rFonts w:ascii="Arial" w:cs="Arial" w:eastAsia="Arial" w:hAnsi="Arial"/>
                <w:sz w:val="16"/>
                <w:szCs w:val="16"/>
                <w:color w:val="auto"/>
              </w:rPr>
              <w:t>Legal and professional expenses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00" w:type="dxa"/>
            <w:vAlign w:val="bottom"/>
            <w:gridSpan w:val="6"/>
          </w:tcPr>
          <w:p>
            <w:pPr>
              <w:ind w:left="120"/>
              <w:spacing w:after="0"/>
              <w:rPr>
                <w:sz w:val="20"/>
                <w:szCs w:val="20"/>
                <w:color w:val="auto"/>
              </w:rPr>
            </w:pPr>
            <w:r>
              <w:rPr>
                <w:rFonts w:ascii="Arial" w:cs="Arial" w:eastAsia="Arial" w:hAnsi="Arial"/>
                <w:sz w:val="16"/>
                <w:szCs w:val="16"/>
                <w:color w:val="auto"/>
              </w:rPr>
              <w:t>Regulatory assessment expenses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8600" w:type="dxa"/>
            <w:vAlign w:val="bottom"/>
            <w:gridSpan w:val="6"/>
            <w:shd w:val="clear" w:color="auto" w:fill="CCEEFF"/>
          </w:tcPr>
          <w:p>
            <w:pPr>
              <w:ind w:left="120"/>
              <w:spacing w:after="0"/>
              <w:rPr>
                <w:sz w:val="20"/>
                <w:szCs w:val="20"/>
                <w:color w:val="auto"/>
              </w:rPr>
            </w:pPr>
            <w:r>
              <w:rPr>
                <w:rFonts w:ascii="Arial" w:cs="Arial" w:eastAsia="Arial" w:hAnsi="Arial"/>
                <w:sz w:val="16"/>
                <w:szCs w:val="16"/>
                <w:color w:val="auto"/>
              </w:rPr>
              <w:t>Other operating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8600" w:type="dxa"/>
            <w:vAlign w:val="bottom"/>
            <w:tcBorders>
              <w:bottom w:val="single" w:sz="8" w:color="CCEEFF"/>
            </w:tcBorders>
            <w:gridSpan w:val="6"/>
          </w:tcPr>
          <w:p>
            <w:pPr>
              <w:ind w:left="24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16,588</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600" w:type="dxa"/>
            <w:vAlign w:val="bottom"/>
            <w:gridSpan w:val="6"/>
            <w:shd w:val="clear" w:color="auto" w:fill="CCEEFF"/>
          </w:tcPr>
          <w:p>
            <w:pPr>
              <w:spacing w:after="0"/>
              <w:rPr>
                <w:sz w:val="20"/>
                <w:szCs w:val="20"/>
                <w:color w:val="auto"/>
              </w:rPr>
            </w:pPr>
            <w:r>
              <w:rPr>
                <w:rFonts w:ascii="Arial" w:cs="Arial" w:eastAsia="Arial" w:hAnsi="Arial"/>
                <w:sz w:val="16"/>
                <w:szCs w:val="16"/>
                <w:b w:val="1"/>
                <w:bCs w:val="1"/>
                <w:color w:val="auto"/>
              </w:rPr>
              <w:t>Income Before Income Tax Expense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12,844</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8600" w:type="dxa"/>
            <w:vAlign w:val="bottom"/>
            <w:tcBorders>
              <w:bottom w:val="single" w:sz="8" w:color="CCEEFF"/>
            </w:tcBorders>
            <w:gridSpan w:val="6"/>
          </w:tcPr>
          <w:p>
            <w:pPr>
              <w:ind w:left="12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2,492</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11,971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600" w:type="dxa"/>
            <w:vAlign w:val="bottom"/>
            <w:tcBorders>
              <w:top w:val="single" w:sz="8" w:color="CCEEFF"/>
              <w:bottom w:val="single" w:sz="8" w:color="CCEEFF"/>
            </w:tcBorders>
            <w:gridSpan w:val="6"/>
            <w:vMerge w:val="restart"/>
          </w:tcPr>
          <w:p>
            <w:pPr>
              <w:spacing w:after="0" w:line="162" w:lineRule="exact"/>
              <w:rPr>
                <w:sz w:val="20"/>
                <w:szCs w:val="20"/>
                <w:color w:val="auto"/>
              </w:rPr>
            </w:pPr>
            <w:r>
              <w:rPr>
                <w:rFonts w:ascii="Arial" w:cs="Arial" w:eastAsia="Arial" w:hAnsi="Arial"/>
                <w:sz w:val="16"/>
                <w:szCs w:val="16"/>
                <w:color w:val="auto"/>
              </w:rPr>
              <w:t>EARNINGS PER SHARE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8600" w:type="dxa"/>
            <w:vAlign w:val="bottom"/>
            <w:gridSpan w:val="6"/>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600" w:type="dxa"/>
            <w:vAlign w:val="bottom"/>
            <w:gridSpan w:val="6"/>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00" w:type="dxa"/>
            <w:vAlign w:val="bottom"/>
            <w:gridSpan w:val="6"/>
          </w:tcPr>
          <w:p>
            <w:pPr>
              <w:ind w:left="120"/>
              <w:spacing w:after="0"/>
              <w:rPr>
                <w:sz w:val="20"/>
                <w:szCs w:val="20"/>
                <w:color w:val="auto"/>
              </w:rPr>
            </w:pPr>
            <w:r>
              <w:rPr>
                <w:rFonts w:ascii="Arial" w:cs="Arial" w:eastAsia="Arial" w:hAnsi="Arial"/>
                <w:sz w:val="16"/>
                <w:szCs w:val="16"/>
                <w:color w:val="auto"/>
              </w:rPr>
              <w:t>Diluted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862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884"/>
        </w:trPr>
        <w:tc>
          <w:tcPr>
            <w:tcW w:w="1260" w:type="dxa"/>
            <w:vAlign w:val="bottom"/>
            <w:tcBorders>
              <w:top w:val="single" w:sz="8" w:color="0000FF"/>
            </w:tcBorders>
          </w:tcPr>
          <w:p>
            <w:pPr>
              <w:spacing w:after="0"/>
              <w:rPr>
                <w:sz w:val="24"/>
                <w:szCs w:val="24"/>
                <w:color w:val="auto"/>
              </w:rPr>
            </w:pPr>
          </w:p>
        </w:tc>
        <w:tc>
          <w:tcPr>
            <w:tcW w:w="7360" w:type="dxa"/>
            <w:vAlign w:val="bottom"/>
          </w:tcPr>
          <w:p>
            <w:pPr>
              <w:jc w:val="center"/>
              <w:ind w:left="1279"/>
              <w:spacing w:after="0"/>
              <w:rPr>
                <w:sz w:val="20"/>
                <w:szCs w:val="20"/>
                <w:color w:val="auto"/>
              </w:rPr>
            </w:pPr>
            <w:r>
              <w:rPr>
                <w:rFonts w:ascii="Arial" w:cs="Arial" w:eastAsia="Arial" w:hAnsi="Arial"/>
                <w:sz w:val="16"/>
                <w:szCs w:val="16"/>
                <w:b w:val="1"/>
                <w:bCs w:val="1"/>
                <w:color w:val="auto"/>
              </w:rPr>
              <w:t>RED RIVER BANCSHARES, INC.</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3"/>
        </w:trPr>
        <w:tc>
          <w:tcPr>
            <w:tcW w:w="1260" w:type="dxa"/>
            <w:vAlign w:val="bottom"/>
          </w:tcPr>
          <w:p>
            <w:pPr>
              <w:spacing w:after="0"/>
              <w:rPr>
                <w:sz w:val="19"/>
                <w:szCs w:val="19"/>
                <w:color w:val="auto"/>
              </w:rPr>
            </w:pPr>
          </w:p>
        </w:tc>
        <w:tc>
          <w:tcPr>
            <w:tcW w:w="7360" w:type="dxa"/>
            <w:vAlign w:val="bottom"/>
          </w:tcPr>
          <w:p>
            <w:pPr>
              <w:jc w:val="center"/>
              <w:ind w:left="1299"/>
              <w:spacing w:after="0"/>
              <w:rPr>
                <w:sz w:val="20"/>
                <w:szCs w:val="20"/>
                <w:color w:val="auto"/>
              </w:rPr>
            </w:pPr>
            <w:r>
              <w:rPr>
                <w:rFonts w:ascii="Arial" w:cs="Arial" w:eastAsia="Arial" w:hAnsi="Arial"/>
                <w:sz w:val="16"/>
                <w:szCs w:val="16"/>
                <w:b w:val="1"/>
                <w:bCs w:val="1"/>
                <w:color w:val="auto"/>
              </w:rPr>
              <w:t>CONSOLIDATED STATEMENTS OF COMPREHENSIVE INCOME (UNAUDITED)</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64"/>
        </w:trPr>
        <w:tc>
          <w:tcPr>
            <w:tcW w:w="1260" w:type="dxa"/>
            <w:vAlign w:val="bottom"/>
          </w:tcPr>
          <w:p>
            <w:pPr>
              <w:spacing w:after="0"/>
              <w:rPr>
                <w:sz w:val="22"/>
                <w:szCs w:val="22"/>
                <w:color w:val="auto"/>
              </w:rPr>
            </w:pPr>
          </w:p>
        </w:tc>
        <w:tc>
          <w:tcPr>
            <w:tcW w:w="7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6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For the Three Months Ended</w:t>
            </w:r>
          </w:p>
        </w:tc>
      </w:tr>
      <w:tr>
        <w:trPr>
          <w:trHeight w:val="216"/>
        </w:trPr>
        <w:tc>
          <w:tcPr>
            <w:tcW w:w="126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80" w:type="dxa"/>
            <w:vAlign w:val="bottom"/>
            <w:tcBorders>
              <w:bottom w:val="single" w:sz="8" w:color="auto"/>
            </w:tcBorders>
          </w:tcPr>
          <w:p>
            <w:pPr>
              <w:spacing w:after="0"/>
              <w:rPr>
                <w:sz w:val="18"/>
                <w:szCs w:val="18"/>
                <w:color w:val="auto"/>
              </w:rPr>
            </w:pPr>
          </w:p>
        </w:tc>
      </w:tr>
      <w:tr>
        <w:trPr>
          <w:trHeight w:val="209"/>
        </w:trPr>
        <w:tc>
          <w:tcPr>
            <w:tcW w:w="8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r>
      <w:tr>
        <w:trPr>
          <w:trHeight w:val="209"/>
        </w:trPr>
        <w:tc>
          <w:tcPr>
            <w:tcW w:w="8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10,352</w:t>
            </w:r>
          </w:p>
        </w:tc>
      </w:tr>
      <w:tr>
        <w:trPr>
          <w:trHeight w:val="215"/>
        </w:trPr>
        <w:tc>
          <w:tcPr>
            <w:tcW w:w="862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 (loss):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8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Unrealized net gain (loss) on securities arising during period</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4,595</w:t>
            </w:r>
          </w:p>
        </w:tc>
      </w:tr>
      <w:tr>
        <w:trPr>
          <w:trHeight w:val="215"/>
        </w:trPr>
        <w:tc>
          <w:tcPr>
            <w:tcW w:w="8620" w:type="dxa"/>
            <w:vAlign w:val="bottom"/>
            <w:gridSpan w:val="2"/>
          </w:tcPr>
          <w:p>
            <w:pPr>
              <w:ind w:left="220"/>
              <w:spacing w:after="0"/>
              <w:rPr>
                <w:sz w:val="20"/>
                <w:szCs w:val="20"/>
                <w:color w:val="auto"/>
              </w:rPr>
            </w:pPr>
            <w:r>
              <w:rPr>
                <w:rFonts w:ascii="Arial" w:cs="Arial" w:eastAsia="Arial" w:hAnsi="Arial"/>
                <w:sz w:val="16"/>
                <w:szCs w:val="16"/>
                <w:color w:val="auto"/>
              </w:rPr>
              <w:t>Tax effect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(964)</w:t>
            </w:r>
          </w:p>
        </w:tc>
      </w:tr>
      <w:tr>
        <w:trPr>
          <w:trHeight w:val="217"/>
        </w:trPr>
        <w:tc>
          <w:tcPr>
            <w:tcW w:w="8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Change in unrealized net loss on securities transferred to held-to-maturity</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r>
      <w:tr>
        <w:trPr>
          <w:trHeight w:val="215"/>
        </w:trPr>
        <w:tc>
          <w:tcPr>
            <w:tcW w:w="86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Tax effect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r>
      <w:tr>
        <w:trPr>
          <w:trHeight w:val="210"/>
        </w:trPr>
        <w:tc>
          <w:tcPr>
            <w:tcW w:w="86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Total other comprehensive income (loss)</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3,889</w:t>
            </w:r>
          </w:p>
        </w:tc>
      </w:tr>
      <w:tr>
        <w:trPr>
          <w:trHeight w:val="210"/>
        </w:trPr>
        <w:tc>
          <w:tcPr>
            <w:tcW w:w="8620" w:type="dxa"/>
            <w:vAlign w:val="bottom"/>
            <w:gridSpan w:val="2"/>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9,660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14,241</w:t>
            </w:r>
          </w:p>
        </w:tc>
      </w:tr>
      <w:tr>
        <w:trPr>
          <w:trHeight w:val="21"/>
        </w:trPr>
        <w:tc>
          <w:tcPr>
            <w:tcW w:w="12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RED RIVER BANCSHARES,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STOCKHOLDERS’ EQUITY (UNAUDITED)</w:t>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vMerge w:val="restart"/>
          </w:tcPr>
          <w:p>
            <w:pPr>
              <w:jc w:val="center"/>
              <w:ind w:right="140"/>
              <w:spacing w:after="0"/>
              <w:rPr>
                <w:sz w:val="20"/>
                <w:szCs w:val="20"/>
                <w:color w:val="auto"/>
              </w:rPr>
            </w:pPr>
            <w:r>
              <w:rPr>
                <w:rFonts w:ascii="Arial" w:cs="Arial" w:eastAsia="Arial" w:hAnsi="Arial"/>
                <w:sz w:val="15"/>
                <w:szCs w:val="15"/>
                <w:b w:val="1"/>
                <w:bCs w:val="1"/>
                <w:color w:val="auto"/>
              </w:rPr>
              <w:t>Common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3"/>
          </w:tcPr>
          <w:p>
            <w:pPr>
              <w:jc w:val="center"/>
              <w:ind w:right="300"/>
              <w:spacing w:after="0"/>
              <w:rPr>
                <w:sz w:val="20"/>
                <w:szCs w:val="20"/>
                <w:color w:val="auto"/>
              </w:rPr>
            </w:pPr>
            <w:r>
              <w:rPr>
                <w:rFonts w:ascii="Arial" w:cs="Arial" w:eastAsia="Arial" w:hAnsi="Arial"/>
                <w:sz w:val="15"/>
                <w:szCs w:val="15"/>
                <w:b w:val="1"/>
                <w:bCs w:val="1"/>
                <w:color w:val="auto"/>
              </w:rPr>
              <w:t>Accumulated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center"/>
              <w:ind w:right="10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 except per share</w:t>
            </w:r>
          </w:p>
        </w:tc>
        <w:tc>
          <w:tcPr>
            <w:tcW w:w="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restart"/>
          </w:tcPr>
          <w:p>
            <w:pPr>
              <w:jc w:val="center"/>
              <w:ind w:right="240"/>
              <w:spacing w:after="0"/>
              <w:rPr>
                <w:sz w:val="20"/>
                <w:szCs w:val="20"/>
                <w:color w:val="auto"/>
              </w:rPr>
            </w:pPr>
            <w:r>
              <w:rPr>
                <w:rFonts w:ascii="Arial" w:cs="Arial" w:eastAsia="Arial" w:hAnsi="Arial"/>
                <w:sz w:val="15"/>
                <w:szCs w:val="15"/>
                <w:b w:val="1"/>
                <w:bCs w:val="1"/>
                <w:color w:val="auto"/>
              </w:rPr>
              <w:t>Common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Additional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Retained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3"/>
          </w:tcPr>
          <w:p>
            <w:pPr>
              <w:jc w:val="center"/>
              <w:ind w:right="300"/>
              <w:spacing w:after="0" w:line="149" w:lineRule="exact"/>
              <w:rPr>
                <w:sz w:val="20"/>
                <w:szCs w:val="20"/>
                <w:color w:val="auto"/>
              </w:rPr>
            </w:pPr>
            <w:r>
              <w:rPr>
                <w:rFonts w:ascii="Arial" w:cs="Arial" w:eastAsia="Arial" w:hAnsi="Arial"/>
                <w:sz w:val="15"/>
                <w:szCs w:val="15"/>
                <w:b w:val="1"/>
                <w:bCs w:val="1"/>
                <w:color w:val="auto"/>
                <w:w w:val="99"/>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jc w:val="center"/>
              <w:ind w:right="140"/>
              <w:spacing w:after="0" w:line="149" w:lineRule="exact"/>
              <w:rPr>
                <w:sz w:val="20"/>
                <w:szCs w:val="20"/>
                <w:color w:val="auto"/>
              </w:rPr>
            </w:pPr>
            <w:r>
              <w:rPr>
                <w:rFonts w:ascii="Arial" w:cs="Arial" w:eastAsia="Arial" w:hAnsi="Arial"/>
                <w:sz w:val="15"/>
                <w:szCs w:val="15"/>
                <w:b w:val="1"/>
                <w:bCs w:val="1"/>
                <w:color w:val="auto"/>
                <w:w w:val="99"/>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3"/>
          </w:tcPr>
          <w:p>
            <w:pPr>
              <w:jc w:val="center"/>
              <w:ind w:right="300"/>
              <w:spacing w:after="0" w:line="149" w:lineRule="exact"/>
              <w:rPr>
                <w:sz w:val="20"/>
                <w:szCs w:val="20"/>
                <w:color w:val="auto"/>
              </w:rPr>
            </w:pPr>
            <w:r>
              <w:rPr>
                <w:rFonts w:ascii="Arial" w:cs="Arial" w:eastAsia="Arial" w:hAnsi="Arial"/>
                <w:sz w:val="15"/>
                <w:szCs w:val="15"/>
                <w:b w:val="1"/>
                <w:bCs w:val="1"/>
                <w:color w:val="auto"/>
              </w:rPr>
              <w:t>Comprehensive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100"/>
              <w:spacing w:after="0" w:line="149" w:lineRule="exact"/>
              <w:rPr>
                <w:sz w:val="20"/>
                <w:szCs w:val="20"/>
                <w:color w:val="auto"/>
              </w:rPr>
            </w:pPr>
            <w:r>
              <w:rPr>
                <w:rFonts w:ascii="Arial" w:cs="Arial" w:eastAsia="Arial" w:hAnsi="Arial"/>
                <w:sz w:val="15"/>
                <w:szCs w:val="15"/>
                <w:b w:val="1"/>
                <w:bCs w:val="1"/>
                <w:color w:val="auto"/>
              </w:rPr>
              <w:t>Stockholders’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0"/>
              <w:spacing w:after="0"/>
              <w:rPr>
                <w:sz w:val="20"/>
                <w:szCs w:val="20"/>
                <w:color w:val="auto"/>
              </w:rPr>
            </w:pPr>
            <w:r>
              <w:rPr>
                <w:rFonts w:ascii="Arial" w:cs="Arial" w:eastAsia="Arial" w:hAnsi="Arial"/>
                <w:sz w:val="16"/>
                <w:szCs w:val="16"/>
                <w:i w:val="1"/>
                <w:iCs w:val="1"/>
                <w:color w:val="auto"/>
              </w:rPr>
              <w:t>amounts)</w:t>
            </w:r>
          </w:p>
        </w:tc>
        <w:tc>
          <w:tcPr>
            <w:tcW w:w="20" w:type="dxa"/>
            <w:vAlign w:val="bottom"/>
          </w:tcPr>
          <w:p>
            <w:pPr>
              <w:spacing w:after="0"/>
              <w:rPr>
                <w:sz w:val="18"/>
                <w:szCs w:val="18"/>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rPr>
              <w:t>Issued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rPr>
              <w:t>Stock</w:t>
            </w:r>
          </w:p>
        </w:tc>
        <w:tc>
          <w:tcPr>
            <w:tcW w:w="4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Arial" w:cs="Arial" w:eastAsia="Arial" w:hAnsi="Arial"/>
                <w:sz w:val="15"/>
                <w:szCs w:val="15"/>
                <w:b w:val="1"/>
                <w:bCs w:val="1"/>
                <w:color w:val="auto"/>
              </w:rPr>
              <w:t>Paid-In 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ind w:left="40"/>
              <w:spacing w:after="0"/>
              <w:rPr>
                <w:sz w:val="20"/>
                <w:szCs w:val="20"/>
                <w:color w:val="auto"/>
              </w:rPr>
            </w:pPr>
            <w:r>
              <w:rPr>
                <w:rFonts w:ascii="Arial" w:cs="Arial" w:eastAsia="Arial" w:hAnsi="Arial"/>
                <w:sz w:val="15"/>
                <w:szCs w:val="15"/>
                <w:b w:val="1"/>
                <w:bCs w:val="1"/>
                <w:color w:val="auto"/>
              </w:rPr>
              <w:t>Earnings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tcPr>
          <w:p>
            <w:pPr>
              <w:jc w:val="center"/>
              <w:ind w:right="300"/>
              <w:spacing w:after="0"/>
              <w:rPr>
                <w:sz w:val="20"/>
                <w:szCs w:val="20"/>
                <w:color w:val="auto"/>
              </w:rPr>
            </w:pPr>
            <w:r>
              <w:rPr>
                <w:rFonts w:ascii="Arial" w:cs="Arial" w:eastAsia="Arial" w:hAnsi="Arial"/>
                <w:sz w:val="15"/>
                <w:szCs w:val="15"/>
                <w:b w:val="1"/>
                <w:bCs w:val="1"/>
                <w:color w:val="auto"/>
              </w:rPr>
              <w:t>Income (Loss)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80"/>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2024</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6,777,238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38,655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338,554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(60,247)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319,739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18"/>
                <w:szCs w:val="18"/>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10,352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10,352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incentive plan</w:t>
            </w:r>
          </w:p>
        </w:tc>
        <w:tc>
          <w:tcPr>
            <w:tcW w:w="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tcPr>
          <w:p>
            <w:pPr>
              <w:ind w:left="20"/>
              <w:spacing w:after="0" w:line="162" w:lineRule="exact"/>
              <w:rPr>
                <w:sz w:val="20"/>
                <w:szCs w:val="20"/>
                <w:color w:val="auto"/>
              </w:rPr>
            </w:pPr>
            <w:r>
              <w:rPr>
                <w:rFonts w:ascii="Arial" w:cs="Arial" w:eastAsia="Arial" w:hAnsi="Arial"/>
                <w:sz w:val="16"/>
                <w:szCs w:val="16"/>
                <w:color w:val="auto"/>
              </w:rPr>
              <w:t>Forfeiture of restricted shares of common</w:t>
            </w:r>
          </w:p>
        </w:tc>
        <w:tc>
          <w:tcPr>
            <w:tcW w:w="1060" w:type="dxa"/>
            <w:vAlign w:val="bottom"/>
            <w:gridSpan w:val="2"/>
            <w:vMerge w:val="restart"/>
          </w:tcPr>
          <w:p>
            <w:pPr>
              <w:jc w:val="right"/>
              <w:spacing w:after="0"/>
              <w:rPr>
                <w:sz w:val="20"/>
                <w:szCs w:val="20"/>
                <w:color w:val="auto"/>
              </w:rPr>
            </w:pPr>
            <w:r>
              <w:rPr>
                <w:rFonts w:ascii="Arial" w:cs="Arial" w:eastAsia="Arial" w:hAnsi="Arial"/>
                <w:sz w:val="16"/>
                <w:szCs w:val="16"/>
                <w:color w:val="auto"/>
              </w:rPr>
              <w:t>(575)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6"/>
                <w:szCs w:val="16"/>
                <w:color w:val="auto"/>
              </w:rPr>
              <w:t>stock</w:t>
            </w:r>
          </w:p>
        </w:tc>
        <w:tc>
          <w:tcPr>
            <w:tcW w:w="10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3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Issuance of shares of common stock as</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board compensation</w:t>
            </w:r>
          </w:p>
        </w:tc>
        <w:tc>
          <w:tcPr>
            <w:tcW w:w="106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Cash dividend - $0.12 per share</w:t>
            </w:r>
          </w:p>
        </w:tc>
        <w:tc>
          <w:tcPr>
            <w:tcW w:w="20" w:type="dxa"/>
            <w:vAlign w:val="bottom"/>
          </w:tcPr>
          <w:p>
            <w:pPr>
              <w:spacing w:after="0"/>
              <w:rPr>
                <w:sz w:val="18"/>
                <w:szCs w:val="18"/>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2025</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6,777,657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38,710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348,093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(56,358)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333,316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 2025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6,576,609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377,731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365,150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tcPr>
          <w:p>
            <w:pPr>
              <w:ind w:left="1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11,971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Stock incentive plan</w:t>
            </w:r>
          </w:p>
        </w:tc>
        <w:tc>
          <w:tcPr>
            <w:tcW w:w="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tcPr>
          <w:p>
            <w:pPr>
              <w:spacing w:after="0" w:line="162" w:lineRule="exact"/>
              <w:rPr>
                <w:sz w:val="20"/>
                <w:szCs w:val="20"/>
                <w:color w:val="auto"/>
              </w:rPr>
            </w:pPr>
            <w:r>
              <w:rPr>
                <w:rFonts w:ascii="Arial" w:cs="Arial" w:eastAsia="Arial" w:hAnsi="Arial"/>
                <w:sz w:val="16"/>
                <w:szCs w:val="16"/>
                <w:color w:val="auto"/>
              </w:rPr>
              <w:t>Issuance of shares of common stock as board</w:t>
            </w:r>
          </w:p>
        </w:tc>
        <w:tc>
          <w:tcPr>
            <w:tcW w:w="1060" w:type="dxa"/>
            <w:vAlign w:val="bottom"/>
            <w:gridSpan w:val="2"/>
            <w:vMerge w:val="restart"/>
          </w:tcPr>
          <w:p>
            <w:pPr>
              <w:jc w:val="right"/>
              <w:spacing w:after="0"/>
              <w:rPr>
                <w:sz w:val="20"/>
                <w:szCs w:val="20"/>
                <w:color w:val="auto"/>
              </w:rPr>
            </w:pPr>
            <w:r>
              <w:rPr>
                <w:rFonts w:ascii="Arial" w:cs="Arial" w:eastAsia="Arial" w:hAnsi="Arial"/>
                <w:sz w:val="16"/>
                <w:szCs w:val="16"/>
                <w:color w:val="auto"/>
              </w:rPr>
              <w:t>577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3"/>
            <w:vMerge w:val="restart"/>
          </w:tcPr>
          <w:p>
            <w:pPr>
              <w:ind w:left="1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6"/>
                <w:szCs w:val="16"/>
                <w:color w:val="auto"/>
              </w:rPr>
              <w:t>compensation</w:t>
            </w:r>
          </w:p>
        </w:tc>
        <w:tc>
          <w:tcPr>
            <w:tcW w:w="10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Cash dividend - $0.25 per share</w:t>
            </w:r>
          </w:p>
        </w:tc>
        <w:tc>
          <w:tcPr>
            <w:tcW w:w="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(1,644)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2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(2,311)</w:t>
            </w:r>
          </w:p>
        </w:tc>
        <w:tc>
          <w:tcPr>
            <w:tcW w:w="0" w:type="dxa"/>
            <w:vAlign w:val="bottom"/>
          </w:tcPr>
          <w:p>
            <w:pPr>
              <w:spacing w:after="0"/>
              <w:rPr>
                <w:sz w:val="1"/>
                <w:szCs w:val="1"/>
                <w:color w:val="auto"/>
              </w:rPr>
            </w:pP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March 31, 2026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6,577,186</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27,591</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3,329</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388,058</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(45,652)</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373,326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unaudited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RED RIVER BANCSHARES,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 (UNAUDITED)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316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6"/>
                <w:szCs w:val="16"/>
                <w:b w:val="1"/>
                <w:bCs w:val="1"/>
                <w:color w:val="auto"/>
              </w:rPr>
              <w:t>For the Three Months Ended March 31,</w:t>
            </w:r>
          </w:p>
        </w:tc>
      </w:tr>
      <w:tr>
        <w:trPr>
          <w:trHeight w:val="210"/>
        </w:trPr>
        <w:tc>
          <w:tcPr>
            <w:tcW w:w="20" w:type="dxa"/>
            <w:vAlign w:val="bottom"/>
            <w:tcBorders>
              <w:bottom w:val="single" w:sz="8" w:color="CCEEFF"/>
            </w:tcBorders>
          </w:tcPr>
          <w:p>
            <w:pPr>
              <w:spacing w:after="0"/>
              <w:rPr>
                <w:sz w:val="18"/>
                <w:szCs w:val="18"/>
                <w:color w:val="auto"/>
              </w:rPr>
            </w:pPr>
          </w:p>
        </w:tc>
        <w:tc>
          <w:tcPr>
            <w:tcW w:w="8060" w:type="dxa"/>
            <w:vAlign w:val="bottom"/>
            <w:tcBorders>
              <w:bottom w:val="single" w:sz="8" w:color="CCEEFF"/>
            </w:tcBorders>
            <w:gridSpan w:val="4"/>
          </w:tcPr>
          <w:p>
            <w:pPr>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3520" w:type="dxa"/>
            <w:vAlign w:val="bottom"/>
            <w:tcBorders>
              <w:bottom w:val="single" w:sz="8" w:color="auto"/>
            </w:tcBorders>
            <w:gridSpan w:val="3"/>
            <w:shd w:val="clear" w:color="auto" w:fill="CCEEFF"/>
          </w:tcPr>
          <w:p>
            <w:pPr>
              <w:spacing w:after="0" w:line="155" w:lineRule="exact"/>
              <w:rPr>
                <w:sz w:val="20"/>
                <w:szCs w:val="20"/>
                <w:color w:val="auto"/>
              </w:rPr>
            </w:pPr>
            <w:r>
              <w:rPr>
                <w:rFonts w:ascii="Arial" w:cs="Arial" w:eastAsia="Arial" w:hAnsi="Arial"/>
                <w:sz w:val="16"/>
                <w:szCs w:val="16"/>
                <w:color w:val="auto"/>
              </w:rPr>
              <w:t>CASH FLOWS FROM OPERATING ACTIVITIES</w:t>
            </w:r>
          </w:p>
        </w:tc>
        <w:tc>
          <w:tcPr>
            <w:tcW w:w="45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8060" w:type="dxa"/>
            <w:vAlign w:val="bottom"/>
            <w:gridSpan w:val="4"/>
          </w:tcPr>
          <w:p>
            <w:pPr>
              <w:ind w:left="12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11,971</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10,352</w:t>
            </w:r>
          </w:p>
        </w:tc>
      </w:tr>
      <w:tr>
        <w:trPr>
          <w:trHeight w:val="217"/>
        </w:trPr>
        <w:tc>
          <w:tcPr>
            <w:tcW w:w="20" w:type="dxa"/>
            <w:vAlign w:val="bottom"/>
            <w:shd w:val="clear" w:color="auto" w:fill="CCEEFF"/>
          </w:tcPr>
          <w:p>
            <w:pPr>
              <w:spacing w:after="0"/>
              <w:rPr>
                <w:sz w:val="18"/>
                <w:szCs w:val="18"/>
                <w:color w:val="auto"/>
              </w:rPr>
            </w:pPr>
          </w:p>
        </w:tc>
        <w:tc>
          <w:tcPr>
            <w:tcW w:w="806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060" w:type="dxa"/>
            <w:vAlign w:val="bottom"/>
            <w:gridSpan w:val="4"/>
          </w:tcPr>
          <w:p>
            <w:pPr>
              <w:ind w:left="380"/>
              <w:spacing w:after="0"/>
              <w:rPr>
                <w:sz w:val="20"/>
                <w:szCs w:val="20"/>
                <w:color w:val="auto"/>
              </w:rPr>
            </w:pPr>
            <w:r>
              <w:rPr>
                <w:rFonts w:ascii="Arial" w:cs="Arial" w:eastAsia="Arial" w:hAnsi="Arial"/>
                <w:sz w:val="16"/>
                <w:szCs w:val="16"/>
                <w:color w:val="auto"/>
              </w:rPr>
              <w:t>Depreciation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665</w:t>
            </w:r>
          </w:p>
        </w:tc>
      </w:tr>
      <w:tr>
        <w:trPr>
          <w:trHeight w:val="217"/>
        </w:trPr>
        <w:tc>
          <w:tcPr>
            <w:tcW w:w="20" w:type="dxa"/>
            <w:vAlign w:val="bottom"/>
            <w:shd w:val="clear" w:color="auto" w:fill="CCEEFF"/>
          </w:tcPr>
          <w:p>
            <w:pPr>
              <w:spacing w:after="0"/>
              <w:rPr>
                <w:sz w:val="18"/>
                <w:szCs w:val="18"/>
                <w:color w:val="auto"/>
              </w:rPr>
            </w:pPr>
          </w:p>
        </w:tc>
        <w:tc>
          <w:tcPr>
            <w:tcW w:w="80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Amortization</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r>
      <w:tr>
        <w:trPr>
          <w:trHeight w:val="215"/>
        </w:trPr>
        <w:tc>
          <w:tcPr>
            <w:tcW w:w="20" w:type="dxa"/>
            <w:vAlign w:val="bottom"/>
          </w:tcPr>
          <w:p>
            <w:pPr>
              <w:spacing w:after="0"/>
              <w:rPr>
                <w:sz w:val="18"/>
                <w:szCs w:val="18"/>
                <w:color w:val="auto"/>
              </w:rPr>
            </w:pPr>
          </w:p>
        </w:tc>
        <w:tc>
          <w:tcPr>
            <w:tcW w:w="8060" w:type="dxa"/>
            <w:vAlign w:val="bottom"/>
            <w:gridSpan w:val="4"/>
          </w:tcPr>
          <w:p>
            <w:pPr>
              <w:ind w:left="380"/>
              <w:spacing w:after="0"/>
              <w:rPr>
                <w:sz w:val="20"/>
                <w:szCs w:val="20"/>
                <w:color w:val="auto"/>
              </w:rPr>
            </w:pPr>
            <w:r>
              <w:rPr>
                <w:rFonts w:ascii="Arial" w:cs="Arial" w:eastAsia="Arial" w:hAnsi="Arial"/>
                <w:sz w:val="16"/>
                <w:szCs w:val="16"/>
                <w:color w:val="auto"/>
              </w:rPr>
              <w:t>Share-based compensation earned</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17"/>
        </w:trPr>
        <w:tc>
          <w:tcPr>
            <w:tcW w:w="20" w:type="dxa"/>
            <w:vAlign w:val="bottom"/>
            <w:shd w:val="clear" w:color="auto" w:fill="CCEEFF"/>
          </w:tcPr>
          <w:p>
            <w:pPr>
              <w:spacing w:after="0"/>
              <w:rPr>
                <w:sz w:val="18"/>
                <w:szCs w:val="18"/>
                <w:color w:val="auto"/>
              </w:rPr>
            </w:pPr>
          </w:p>
        </w:tc>
        <w:tc>
          <w:tcPr>
            <w:tcW w:w="80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Share-based board compensation earned</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5"/>
        </w:trPr>
        <w:tc>
          <w:tcPr>
            <w:tcW w:w="20" w:type="dxa"/>
            <w:vAlign w:val="bottom"/>
          </w:tcPr>
          <w:p>
            <w:pPr>
              <w:spacing w:after="0"/>
              <w:rPr>
                <w:sz w:val="18"/>
                <w:szCs w:val="18"/>
                <w:color w:val="auto"/>
              </w:rPr>
            </w:pPr>
          </w:p>
        </w:tc>
        <w:tc>
          <w:tcPr>
            <w:tcW w:w="8060" w:type="dxa"/>
            <w:vAlign w:val="bottom"/>
            <w:gridSpan w:val="4"/>
          </w:tcPr>
          <w:p>
            <w:pPr>
              <w:ind w:left="380"/>
              <w:spacing w:after="0"/>
              <w:rPr>
                <w:sz w:val="20"/>
                <w:szCs w:val="20"/>
                <w:color w:val="auto"/>
              </w:rPr>
            </w:pPr>
            <w:r>
              <w:rPr>
                <w:rFonts w:ascii="Arial" w:cs="Arial" w:eastAsia="Arial" w:hAnsi="Arial"/>
                <w:sz w:val="16"/>
                <w:szCs w:val="16"/>
                <w:color w:val="auto"/>
              </w:rPr>
              <w:t>Net (accretion) amortization on securities AFS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291</w:t>
            </w:r>
          </w:p>
        </w:tc>
      </w:tr>
      <w:tr>
        <w:trPr>
          <w:trHeight w:val="217"/>
        </w:trPr>
        <w:tc>
          <w:tcPr>
            <w:tcW w:w="20" w:type="dxa"/>
            <w:vAlign w:val="bottom"/>
            <w:shd w:val="clear" w:color="auto" w:fill="CCEEFF"/>
          </w:tcPr>
          <w:p>
            <w:pPr>
              <w:spacing w:after="0"/>
              <w:rPr>
                <w:sz w:val="18"/>
                <w:szCs w:val="18"/>
                <w:color w:val="auto"/>
              </w:rPr>
            </w:pPr>
          </w:p>
        </w:tc>
        <w:tc>
          <w:tcPr>
            <w:tcW w:w="80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Net (accretion) amortization on securities HTM</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r>
      <w:tr>
        <w:trPr>
          <w:trHeight w:val="215"/>
        </w:trPr>
        <w:tc>
          <w:tcPr>
            <w:tcW w:w="20" w:type="dxa"/>
            <w:vAlign w:val="bottom"/>
          </w:tcPr>
          <w:p>
            <w:pPr>
              <w:spacing w:after="0"/>
              <w:rPr>
                <w:sz w:val="18"/>
                <w:szCs w:val="18"/>
                <w:color w:val="auto"/>
              </w:rPr>
            </w:pPr>
          </w:p>
        </w:tc>
        <w:tc>
          <w:tcPr>
            <w:tcW w:w="8060" w:type="dxa"/>
            <w:vAlign w:val="bottom"/>
            <w:gridSpan w:val="4"/>
          </w:tcPr>
          <w:p>
            <w:pPr>
              <w:ind w:left="380"/>
              <w:spacing w:after="0"/>
              <w:rPr>
                <w:sz w:val="20"/>
                <w:szCs w:val="20"/>
                <w:color w:val="auto"/>
              </w:rPr>
            </w:pPr>
            <w:r>
              <w:rPr>
                <w:rFonts w:ascii="Arial" w:cs="Arial" w:eastAsia="Arial" w:hAnsi="Arial"/>
                <w:sz w:val="16"/>
                <w:szCs w:val="16"/>
                <w:color w:val="auto"/>
              </w:rPr>
              <w:t>(Gain) Loss on equity securities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7"/>
        </w:trPr>
        <w:tc>
          <w:tcPr>
            <w:tcW w:w="20" w:type="dxa"/>
            <w:vAlign w:val="bottom"/>
            <w:shd w:val="clear" w:color="auto" w:fill="CCEEFF"/>
          </w:tcPr>
          <w:p>
            <w:pPr>
              <w:spacing w:after="0"/>
              <w:rPr>
                <w:sz w:val="18"/>
                <w:szCs w:val="18"/>
                <w:color w:val="auto"/>
              </w:rPr>
            </w:pPr>
          </w:p>
        </w:tc>
        <w:tc>
          <w:tcPr>
            <w:tcW w:w="80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(Gain) Loss on other assets owned</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5"/>
        </w:trPr>
        <w:tc>
          <w:tcPr>
            <w:tcW w:w="20" w:type="dxa"/>
            <w:vAlign w:val="bottom"/>
          </w:tcPr>
          <w:p>
            <w:pPr>
              <w:spacing w:after="0"/>
              <w:rPr>
                <w:sz w:val="18"/>
                <w:szCs w:val="18"/>
                <w:color w:val="auto"/>
              </w:rPr>
            </w:pPr>
          </w:p>
        </w:tc>
        <w:tc>
          <w:tcPr>
            <w:tcW w:w="8060" w:type="dxa"/>
            <w:vAlign w:val="bottom"/>
            <w:gridSpan w:val="4"/>
          </w:tcPr>
          <w:p>
            <w:pPr>
              <w:ind w:left="380"/>
              <w:spacing w:after="0"/>
              <w:rPr>
                <w:sz w:val="20"/>
                <w:szCs w:val="20"/>
                <w:color w:val="auto"/>
              </w:rPr>
            </w:pPr>
            <w:r>
              <w:rPr>
                <w:rFonts w:ascii="Arial" w:cs="Arial" w:eastAsia="Arial" w:hAnsi="Arial"/>
                <w:sz w:val="16"/>
                <w:szCs w:val="16"/>
                <w:color w:val="auto"/>
              </w:rPr>
              <w:t>Provision for credit losses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450</w:t>
            </w:r>
          </w:p>
        </w:tc>
      </w:tr>
      <w:tr>
        <w:trPr>
          <w:trHeight w:val="217"/>
        </w:trPr>
        <w:tc>
          <w:tcPr>
            <w:tcW w:w="20" w:type="dxa"/>
            <w:vAlign w:val="bottom"/>
            <w:shd w:val="clear" w:color="auto" w:fill="CCEEFF"/>
          </w:tcPr>
          <w:p>
            <w:pPr>
              <w:spacing w:after="0"/>
              <w:rPr>
                <w:sz w:val="18"/>
                <w:szCs w:val="18"/>
                <w:color w:val="auto"/>
              </w:rPr>
            </w:pPr>
          </w:p>
        </w:tc>
        <w:tc>
          <w:tcPr>
            <w:tcW w:w="80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Deferred income tax (benefit) expense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r>
      <w:tr>
        <w:trPr>
          <w:trHeight w:val="215"/>
        </w:trPr>
        <w:tc>
          <w:tcPr>
            <w:tcW w:w="20" w:type="dxa"/>
            <w:vAlign w:val="bottom"/>
          </w:tcPr>
          <w:p>
            <w:pPr>
              <w:spacing w:after="0"/>
              <w:rPr>
                <w:sz w:val="18"/>
                <w:szCs w:val="18"/>
                <w:color w:val="auto"/>
              </w:rPr>
            </w:pPr>
          </w:p>
        </w:tc>
        <w:tc>
          <w:tcPr>
            <w:tcW w:w="8060" w:type="dxa"/>
            <w:vAlign w:val="bottom"/>
            <w:gridSpan w:val="4"/>
          </w:tcPr>
          <w:p>
            <w:pPr>
              <w:ind w:left="380"/>
              <w:spacing w:after="0"/>
              <w:rPr>
                <w:sz w:val="20"/>
                <w:szCs w:val="20"/>
                <w:color w:val="auto"/>
              </w:rPr>
            </w:pPr>
            <w:r>
              <w:rPr>
                <w:rFonts w:ascii="Arial" w:cs="Arial" w:eastAsia="Arial" w:hAnsi="Arial"/>
                <w:sz w:val="16"/>
                <w:szCs w:val="16"/>
                <w:color w:val="auto"/>
              </w:rPr>
              <w:t>Net (increase) decrease in loans HFS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369</w:t>
            </w:r>
          </w:p>
        </w:tc>
      </w:tr>
      <w:tr>
        <w:trPr>
          <w:trHeight w:val="217"/>
        </w:trPr>
        <w:tc>
          <w:tcPr>
            <w:tcW w:w="20" w:type="dxa"/>
            <w:vAlign w:val="bottom"/>
            <w:shd w:val="clear" w:color="auto" w:fill="CCEEFF"/>
          </w:tcPr>
          <w:p>
            <w:pPr>
              <w:spacing w:after="0"/>
              <w:rPr>
                <w:sz w:val="18"/>
                <w:szCs w:val="18"/>
                <w:color w:val="auto"/>
              </w:rPr>
            </w:pPr>
          </w:p>
        </w:tc>
        <w:tc>
          <w:tcPr>
            <w:tcW w:w="80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Net (increase) decrease in accrued interest receivable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r>
      <w:tr>
        <w:trPr>
          <w:trHeight w:val="215"/>
        </w:trPr>
        <w:tc>
          <w:tcPr>
            <w:tcW w:w="20" w:type="dxa"/>
            <w:vAlign w:val="bottom"/>
          </w:tcPr>
          <w:p>
            <w:pPr>
              <w:spacing w:after="0"/>
              <w:rPr>
                <w:sz w:val="18"/>
                <w:szCs w:val="18"/>
                <w:color w:val="auto"/>
              </w:rPr>
            </w:pPr>
          </w:p>
        </w:tc>
        <w:tc>
          <w:tcPr>
            <w:tcW w:w="8060" w:type="dxa"/>
            <w:vAlign w:val="bottom"/>
            <w:gridSpan w:val="4"/>
          </w:tcPr>
          <w:p>
            <w:pPr>
              <w:ind w:left="380"/>
              <w:spacing w:after="0"/>
              <w:rPr>
                <w:sz w:val="20"/>
                <w:szCs w:val="20"/>
                <w:color w:val="auto"/>
              </w:rPr>
            </w:pPr>
            <w:r>
              <w:rPr>
                <w:rFonts w:ascii="Arial" w:cs="Arial" w:eastAsia="Arial" w:hAnsi="Arial"/>
                <w:sz w:val="16"/>
                <w:szCs w:val="16"/>
                <w:color w:val="auto"/>
              </w:rPr>
              <w:t>Net (increase) decrease in BOLI</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217"/>
        </w:trPr>
        <w:tc>
          <w:tcPr>
            <w:tcW w:w="20" w:type="dxa"/>
            <w:vAlign w:val="bottom"/>
            <w:shd w:val="clear" w:color="auto" w:fill="CCEEFF"/>
          </w:tcPr>
          <w:p>
            <w:pPr>
              <w:spacing w:after="0"/>
              <w:rPr>
                <w:sz w:val="18"/>
                <w:szCs w:val="18"/>
                <w:color w:val="auto"/>
              </w:rPr>
            </w:pPr>
          </w:p>
        </w:tc>
        <w:tc>
          <w:tcPr>
            <w:tcW w:w="80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Net increase (decrease) in accrued interest payable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w:t>
            </w:r>
          </w:p>
        </w:tc>
      </w:tr>
      <w:tr>
        <w:trPr>
          <w:trHeight w:val="215"/>
        </w:trPr>
        <w:tc>
          <w:tcPr>
            <w:tcW w:w="20" w:type="dxa"/>
            <w:vAlign w:val="bottom"/>
          </w:tcPr>
          <w:p>
            <w:pPr>
              <w:spacing w:after="0"/>
              <w:rPr>
                <w:sz w:val="18"/>
                <w:szCs w:val="18"/>
                <w:color w:val="auto"/>
              </w:rPr>
            </w:pPr>
          </w:p>
        </w:tc>
        <w:tc>
          <w:tcPr>
            <w:tcW w:w="8060" w:type="dxa"/>
            <w:vAlign w:val="bottom"/>
            <w:gridSpan w:val="4"/>
          </w:tcPr>
          <w:p>
            <w:pPr>
              <w:ind w:left="380"/>
              <w:spacing w:after="0"/>
              <w:rPr>
                <w:sz w:val="20"/>
                <w:szCs w:val="20"/>
                <w:color w:val="auto"/>
              </w:rPr>
            </w:pPr>
            <w:r>
              <w:rPr>
                <w:rFonts w:ascii="Arial" w:cs="Arial" w:eastAsia="Arial" w:hAnsi="Arial"/>
                <w:sz w:val="16"/>
                <w:szCs w:val="16"/>
                <w:color w:val="auto"/>
              </w:rPr>
              <w:t>Net increase (decrease) in accrued income taxes payable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2,994</w:t>
            </w:r>
          </w:p>
        </w:tc>
      </w:tr>
      <w:tr>
        <w:trPr>
          <w:trHeight w:val="217"/>
        </w:trPr>
        <w:tc>
          <w:tcPr>
            <w:tcW w:w="20" w:type="dxa"/>
            <w:vAlign w:val="bottom"/>
            <w:shd w:val="clear" w:color="auto" w:fill="CCEEFF"/>
          </w:tcPr>
          <w:p>
            <w:pPr>
              <w:spacing w:after="0"/>
              <w:rPr>
                <w:sz w:val="18"/>
                <w:szCs w:val="18"/>
                <w:color w:val="auto"/>
              </w:rPr>
            </w:pPr>
          </w:p>
        </w:tc>
        <w:tc>
          <w:tcPr>
            <w:tcW w:w="80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Other operating activities, net</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w:t>
            </w:r>
          </w:p>
        </w:tc>
      </w:tr>
      <w:tr>
        <w:trPr>
          <w:trHeight w:val="209"/>
        </w:trPr>
        <w:tc>
          <w:tcPr>
            <w:tcW w:w="20" w:type="dxa"/>
            <w:vAlign w:val="bottom"/>
            <w:tcBorders>
              <w:bottom w:val="single" w:sz="8" w:color="CCEEFF"/>
            </w:tcBorders>
          </w:tcPr>
          <w:p>
            <w:pPr>
              <w:spacing w:after="0"/>
              <w:rPr>
                <w:sz w:val="18"/>
                <w:szCs w:val="18"/>
                <w:color w:val="auto"/>
              </w:rPr>
            </w:pPr>
          </w:p>
        </w:tc>
        <w:tc>
          <w:tcPr>
            <w:tcW w:w="8060" w:type="dxa"/>
            <w:vAlign w:val="bottom"/>
            <w:tcBorders>
              <w:bottom w:val="single" w:sz="8" w:color="CCEEFF"/>
            </w:tcBorders>
            <w:gridSpan w:val="4"/>
          </w:tcPr>
          <w:p>
            <w:pPr>
              <w:ind w:left="50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16,923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13,914</w:t>
            </w:r>
          </w:p>
        </w:tc>
      </w:tr>
      <w:tr>
        <w:trPr>
          <w:trHeight w:val="177"/>
        </w:trPr>
        <w:tc>
          <w:tcPr>
            <w:tcW w:w="20" w:type="dxa"/>
            <w:vAlign w:val="bottom"/>
            <w:shd w:val="clear" w:color="auto" w:fill="CCEEFF"/>
          </w:tcPr>
          <w:p>
            <w:pPr>
              <w:spacing w:after="0"/>
              <w:rPr>
                <w:sz w:val="15"/>
                <w:szCs w:val="15"/>
                <w:color w:val="auto"/>
              </w:rPr>
            </w:pPr>
          </w:p>
        </w:tc>
        <w:tc>
          <w:tcPr>
            <w:tcW w:w="8060" w:type="dxa"/>
            <w:vAlign w:val="bottom"/>
            <w:gridSpan w:val="4"/>
            <w:shd w:val="clear" w:color="auto" w:fill="CCEEFF"/>
          </w:tcPr>
          <w:p>
            <w:pPr>
              <w:spacing w:after="0" w:line="156" w:lineRule="exact"/>
              <w:rPr>
                <w:sz w:val="20"/>
                <w:szCs w:val="20"/>
                <w:color w:val="auto"/>
              </w:rPr>
            </w:pPr>
            <w:r>
              <w:rPr>
                <w:rFonts w:ascii="Arial" w:cs="Arial" w:eastAsia="Arial" w:hAnsi="Arial"/>
                <w:sz w:val="16"/>
                <w:szCs w:val="16"/>
                <w:color w:val="auto"/>
              </w:rPr>
              <w:t>CASH FLOWS FROM INVESTING ACTIVITIES</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344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Activity in securities AFS:</w:t>
            </w:r>
          </w:p>
        </w:tc>
        <w:tc>
          <w:tcPr>
            <w:tcW w:w="4620" w:type="dxa"/>
            <w:vAlign w:val="bottom"/>
            <w:tcBorders>
              <w:top w:val="single" w:sz="8" w:color="CCEEFF"/>
            </w:tcBorders>
            <w:gridSpan w:val="3"/>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8060" w:type="dxa"/>
            <w:vAlign w:val="bottom"/>
            <w:gridSpan w:val="4"/>
            <w:shd w:val="clear" w:color="auto" w:fill="CCEEFF"/>
          </w:tcPr>
          <w:p>
            <w:pPr>
              <w:ind w:left="340"/>
              <w:spacing w:after="0"/>
              <w:rPr>
                <w:sz w:val="20"/>
                <w:szCs w:val="20"/>
                <w:color w:val="auto"/>
              </w:rPr>
            </w:pPr>
            <w:r>
              <w:rPr>
                <w:rFonts w:ascii="Arial" w:cs="Arial" w:eastAsia="Arial" w:hAnsi="Arial"/>
                <w:sz w:val="16"/>
                <w:szCs w:val="16"/>
                <w:color w:val="auto"/>
              </w:rPr>
              <w:t>Maturities, principal repayments, and calls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29,781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24,336</w:t>
            </w:r>
          </w:p>
        </w:tc>
      </w:tr>
      <w:tr>
        <w:trPr>
          <w:trHeight w:val="215"/>
        </w:trPr>
        <w:tc>
          <w:tcPr>
            <w:tcW w:w="20" w:type="dxa"/>
            <w:vAlign w:val="bottom"/>
          </w:tcPr>
          <w:p>
            <w:pPr>
              <w:spacing w:after="0"/>
              <w:rPr>
                <w:sz w:val="18"/>
                <w:szCs w:val="18"/>
                <w:color w:val="auto"/>
              </w:rPr>
            </w:pPr>
          </w:p>
        </w:tc>
        <w:tc>
          <w:tcPr>
            <w:tcW w:w="8060" w:type="dxa"/>
            <w:vAlign w:val="bottom"/>
            <w:gridSpan w:val="4"/>
          </w:tcPr>
          <w:p>
            <w:pPr>
              <w:ind w:left="340"/>
              <w:spacing w:after="0"/>
              <w:rPr>
                <w:sz w:val="20"/>
                <w:szCs w:val="20"/>
                <w:color w:val="auto"/>
              </w:rPr>
            </w:pPr>
            <w:r>
              <w:rPr>
                <w:rFonts w:ascii="Arial" w:cs="Arial" w:eastAsia="Arial" w:hAnsi="Arial"/>
                <w:sz w:val="16"/>
                <w:szCs w:val="16"/>
                <w:color w:val="auto"/>
              </w:rPr>
              <w:t>Purchases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(24,701)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(36,758)</w:t>
            </w:r>
          </w:p>
        </w:tc>
      </w:tr>
      <w:tr>
        <w:trPr>
          <w:trHeight w:val="217"/>
        </w:trPr>
        <w:tc>
          <w:tcPr>
            <w:tcW w:w="20" w:type="dxa"/>
            <w:vAlign w:val="bottom"/>
            <w:shd w:val="clear" w:color="auto" w:fill="CCEEFF"/>
          </w:tcPr>
          <w:p>
            <w:pPr>
              <w:spacing w:after="0"/>
              <w:rPr>
                <w:sz w:val="18"/>
                <w:szCs w:val="18"/>
                <w:color w:val="auto"/>
              </w:rPr>
            </w:pPr>
          </w:p>
        </w:tc>
        <w:tc>
          <w:tcPr>
            <w:tcW w:w="806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Activity in securities HTM:</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060" w:type="dxa"/>
            <w:vAlign w:val="bottom"/>
            <w:gridSpan w:val="4"/>
          </w:tcPr>
          <w:p>
            <w:pPr>
              <w:ind w:left="340"/>
              <w:spacing w:after="0"/>
              <w:rPr>
                <w:sz w:val="20"/>
                <w:szCs w:val="20"/>
                <w:color w:val="auto"/>
              </w:rPr>
            </w:pPr>
            <w:r>
              <w:rPr>
                <w:rFonts w:ascii="Arial" w:cs="Arial" w:eastAsia="Arial" w:hAnsi="Arial"/>
                <w:sz w:val="16"/>
                <w:szCs w:val="16"/>
                <w:color w:val="auto"/>
              </w:rPr>
              <w:t>Maturities, principal repayments, and calls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2,307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2,428</w:t>
            </w:r>
          </w:p>
        </w:tc>
      </w:tr>
      <w:tr>
        <w:trPr>
          <w:trHeight w:val="217"/>
        </w:trPr>
        <w:tc>
          <w:tcPr>
            <w:tcW w:w="20" w:type="dxa"/>
            <w:vAlign w:val="bottom"/>
            <w:shd w:val="clear" w:color="auto" w:fill="CCEEFF"/>
          </w:tcPr>
          <w:p>
            <w:pPr>
              <w:spacing w:after="0"/>
              <w:rPr>
                <w:sz w:val="18"/>
                <w:szCs w:val="18"/>
                <w:color w:val="auto"/>
              </w:rPr>
            </w:pPr>
          </w:p>
        </w:tc>
        <w:tc>
          <w:tcPr>
            <w:tcW w:w="806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Capital contribution in partnerships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5"/>
        </w:trPr>
        <w:tc>
          <w:tcPr>
            <w:tcW w:w="20" w:type="dxa"/>
            <w:vAlign w:val="bottom"/>
          </w:tcPr>
          <w:p>
            <w:pPr>
              <w:spacing w:after="0"/>
              <w:rPr>
                <w:sz w:val="18"/>
                <w:szCs w:val="18"/>
                <w:color w:val="auto"/>
              </w:rPr>
            </w:pPr>
          </w:p>
        </w:tc>
        <w:tc>
          <w:tcPr>
            <w:tcW w:w="8060" w:type="dxa"/>
            <w:vAlign w:val="bottom"/>
            <w:gridSpan w:val="4"/>
          </w:tcPr>
          <w:p>
            <w:pPr>
              <w:ind w:left="120"/>
              <w:spacing w:after="0"/>
              <w:rPr>
                <w:sz w:val="20"/>
                <w:szCs w:val="20"/>
                <w:color w:val="auto"/>
              </w:rPr>
            </w:pPr>
            <w:r>
              <w:rPr>
                <w:rFonts w:ascii="Arial" w:cs="Arial" w:eastAsia="Arial" w:hAnsi="Arial"/>
                <w:sz w:val="16"/>
                <w:szCs w:val="16"/>
                <w:color w:val="auto"/>
              </w:rPr>
              <w:t>Return of capital in partnerships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CCEEFF"/>
          </w:tcPr>
          <w:p>
            <w:pPr>
              <w:spacing w:after="0"/>
              <w:rPr>
                <w:sz w:val="18"/>
                <w:szCs w:val="18"/>
                <w:color w:val="auto"/>
              </w:rPr>
            </w:pPr>
          </w:p>
        </w:tc>
        <w:tc>
          <w:tcPr>
            <w:tcW w:w="806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Net (increase) decrease in loans HFI</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(40,216)</w:t>
            </w:r>
          </w:p>
        </w:tc>
      </w:tr>
      <w:tr>
        <w:trPr>
          <w:trHeight w:val="215"/>
        </w:trPr>
        <w:tc>
          <w:tcPr>
            <w:tcW w:w="20" w:type="dxa"/>
            <w:vAlign w:val="bottom"/>
          </w:tcPr>
          <w:p>
            <w:pPr>
              <w:spacing w:after="0"/>
              <w:rPr>
                <w:sz w:val="18"/>
                <w:szCs w:val="18"/>
                <w:color w:val="auto"/>
              </w:rPr>
            </w:pPr>
          </w:p>
        </w:tc>
        <w:tc>
          <w:tcPr>
            <w:tcW w:w="8060" w:type="dxa"/>
            <w:vAlign w:val="bottom"/>
            <w:gridSpan w:val="4"/>
          </w:tcPr>
          <w:p>
            <w:pPr>
              <w:ind w:left="120"/>
              <w:spacing w:after="0"/>
              <w:rPr>
                <w:sz w:val="20"/>
                <w:szCs w:val="20"/>
                <w:color w:val="auto"/>
              </w:rPr>
            </w:pPr>
            <w:r>
              <w:rPr>
                <w:rFonts w:ascii="Arial" w:cs="Arial" w:eastAsia="Arial" w:hAnsi="Arial"/>
                <w:sz w:val="16"/>
                <w:szCs w:val="16"/>
                <w:color w:val="auto"/>
              </w:rPr>
              <w:t>Proceeds from sales of foreclosed assets</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7"/>
        </w:trPr>
        <w:tc>
          <w:tcPr>
            <w:tcW w:w="20" w:type="dxa"/>
            <w:vAlign w:val="bottom"/>
            <w:shd w:val="clear" w:color="auto" w:fill="CCEEFF"/>
          </w:tcPr>
          <w:p>
            <w:pPr>
              <w:spacing w:after="0"/>
              <w:rPr>
                <w:sz w:val="18"/>
                <w:szCs w:val="18"/>
                <w:color w:val="auto"/>
              </w:rPr>
            </w:pPr>
          </w:p>
        </w:tc>
        <w:tc>
          <w:tcPr>
            <w:tcW w:w="806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Insurance proceeds from premises and equipment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20" w:type="dxa"/>
            <w:vAlign w:val="bottom"/>
            <w:tcBorders>
              <w:bottom w:val="single" w:sz="8" w:color="CCEEFF"/>
            </w:tcBorders>
          </w:tcPr>
          <w:p>
            <w:pPr>
              <w:spacing w:after="0"/>
              <w:rPr>
                <w:sz w:val="18"/>
                <w:szCs w:val="18"/>
                <w:color w:val="auto"/>
              </w:rPr>
            </w:pPr>
          </w:p>
        </w:tc>
        <w:tc>
          <w:tcPr>
            <w:tcW w:w="8060" w:type="dxa"/>
            <w:vAlign w:val="bottom"/>
            <w:tcBorders>
              <w:bottom w:val="single" w:sz="8" w:color="CCEEFF"/>
            </w:tcBorders>
            <w:gridSpan w:val="4"/>
          </w:tcPr>
          <w:p>
            <w:pPr>
              <w:ind w:left="120"/>
              <w:spacing w:after="0"/>
              <w:rPr>
                <w:sz w:val="20"/>
                <w:szCs w:val="20"/>
                <w:color w:val="auto"/>
              </w:rPr>
            </w:pPr>
            <w:r>
              <w:rPr>
                <w:rFonts w:ascii="Arial" w:cs="Arial" w:eastAsia="Arial" w:hAnsi="Arial"/>
                <w:sz w:val="16"/>
                <w:szCs w:val="16"/>
                <w:color w:val="auto"/>
              </w:rPr>
              <w:t>Purchases of premises and equipment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r>
      <w:tr>
        <w:trPr>
          <w:trHeight w:val="210"/>
        </w:trPr>
        <w:tc>
          <w:tcPr>
            <w:tcW w:w="20" w:type="dxa"/>
            <w:vAlign w:val="bottom"/>
            <w:shd w:val="clear" w:color="auto" w:fill="CCEEFF"/>
          </w:tcPr>
          <w:p>
            <w:pPr>
              <w:spacing w:after="0"/>
              <w:rPr>
                <w:sz w:val="18"/>
                <w:szCs w:val="18"/>
                <w:color w:val="auto"/>
              </w:rPr>
            </w:pPr>
          </w:p>
        </w:tc>
        <w:tc>
          <w:tcPr>
            <w:tcW w:w="8060" w:type="dxa"/>
            <w:vAlign w:val="bottom"/>
            <w:gridSpan w:val="4"/>
            <w:shd w:val="clear" w:color="auto" w:fill="CCEEFF"/>
          </w:tcPr>
          <w:p>
            <w:pPr>
              <w:ind w:left="38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(50,491)</w:t>
            </w:r>
          </w:p>
        </w:tc>
      </w:tr>
      <w:tr>
        <w:trPr>
          <w:trHeight w:val="155"/>
        </w:trPr>
        <w:tc>
          <w:tcPr>
            <w:tcW w:w="20" w:type="dxa"/>
            <w:vAlign w:val="bottom"/>
          </w:tcPr>
          <w:p>
            <w:pPr>
              <w:spacing w:after="0"/>
              <w:rPr>
                <w:sz w:val="13"/>
                <w:szCs w:val="13"/>
                <w:color w:val="auto"/>
              </w:rPr>
            </w:pPr>
          </w:p>
        </w:tc>
        <w:tc>
          <w:tcPr>
            <w:tcW w:w="8060" w:type="dxa"/>
            <w:vAlign w:val="bottom"/>
            <w:gridSpan w:val="4"/>
          </w:tcPr>
          <w:p>
            <w:pPr>
              <w:spacing w:after="0" w:line="155" w:lineRule="exact"/>
              <w:rPr>
                <w:sz w:val="20"/>
                <w:szCs w:val="20"/>
                <w:color w:val="auto"/>
              </w:rPr>
            </w:pPr>
            <w:r>
              <w:rPr>
                <w:rFonts w:ascii="Arial" w:cs="Arial" w:eastAsia="Arial" w:hAnsi="Arial"/>
                <w:sz w:val="16"/>
                <w:szCs w:val="16"/>
                <w:color w:val="auto"/>
              </w:rPr>
              <w:t>CASH FLOWS FROM FINANCING ACTIVITIES</w:t>
            </w: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06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Net increase (decrease) in deposits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20,570</w:t>
            </w:r>
          </w:p>
        </w:tc>
      </w:tr>
      <w:tr>
        <w:trPr>
          <w:trHeight w:val="215"/>
        </w:trPr>
        <w:tc>
          <w:tcPr>
            <w:tcW w:w="20" w:type="dxa"/>
            <w:vAlign w:val="bottom"/>
            <w:tcBorders>
              <w:bottom w:val="single" w:sz="8" w:color="CCEEFF"/>
            </w:tcBorders>
          </w:tcPr>
          <w:p>
            <w:pPr>
              <w:spacing w:after="0"/>
              <w:rPr>
                <w:sz w:val="18"/>
                <w:szCs w:val="18"/>
                <w:color w:val="auto"/>
              </w:rPr>
            </w:pPr>
          </w:p>
        </w:tc>
        <w:tc>
          <w:tcPr>
            <w:tcW w:w="8060" w:type="dxa"/>
            <w:vAlign w:val="bottom"/>
            <w:tcBorders>
              <w:bottom w:val="single" w:sz="8" w:color="CCEEFF"/>
            </w:tcBorders>
            <w:gridSpan w:val="4"/>
          </w:tcPr>
          <w:p>
            <w:pPr>
              <w:ind w:left="120"/>
              <w:spacing w:after="0"/>
              <w:rPr>
                <w:sz w:val="20"/>
                <w:szCs w:val="20"/>
                <w:color w:val="auto"/>
              </w:rPr>
            </w:pPr>
            <w:r>
              <w:rPr>
                <w:rFonts w:ascii="Arial" w:cs="Arial" w:eastAsia="Arial" w:hAnsi="Arial"/>
                <w:sz w:val="16"/>
                <w:szCs w:val="16"/>
                <w:color w:val="auto"/>
              </w:rPr>
              <w:t>Cash dividends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(813)</w:t>
            </w:r>
          </w:p>
        </w:tc>
      </w:tr>
      <w:tr>
        <w:trPr>
          <w:trHeight w:val="210"/>
        </w:trPr>
        <w:tc>
          <w:tcPr>
            <w:tcW w:w="20" w:type="dxa"/>
            <w:vAlign w:val="bottom"/>
            <w:shd w:val="clear" w:color="auto" w:fill="CCEEFF"/>
          </w:tcPr>
          <w:p>
            <w:pPr>
              <w:spacing w:after="0"/>
              <w:rPr>
                <w:sz w:val="18"/>
                <w:szCs w:val="18"/>
                <w:color w:val="auto"/>
              </w:rPr>
            </w:pPr>
          </w:p>
        </w:tc>
        <w:tc>
          <w:tcPr>
            <w:tcW w:w="8060" w:type="dxa"/>
            <w:vAlign w:val="bottom"/>
            <w:gridSpan w:val="4"/>
            <w:shd w:val="clear" w:color="auto" w:fill="CCEEFF"/>
          </w:tcPr>
          <w:p>
            <w:pPr>
              <w:ind w:left="38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(19,121)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19,757</w:t>
            </w:r>
          </w:p>
        </w:tc>
      </w:tr>
      <w:tr>
        <w:trPr>
          <w:trHeight w:val="209"/>
        </w:trPr>
        <w:tc>
          <w:tcPr>
            <w:tcW w:w="20" w:type="dxa"/>
            <w:vAlign w:val="bottom"/>
          </w:tcPr>
          <w:p>
            <w:pPr>
              <w:spacing w:after="0"/>
              <w:rPr>
                <w:sz w:val="18"/>
                <w:szCs w:val="18"/>
                <w:color w:val="auto"/>
              </w:rPr>
            </w:pPr>
          </w:p>
        </w:tc>
        <w:tc>
          <w:tcPr>
            <w:tcW w:w="8060" w:type="dxa"/>
            <w:vAlign w:val="bottom"/>
            <w:gridSpan w:val="4"/>
          </w:tcPr>
          <w:p>
            <w:pPr>
              <w:spacing w:after="0"/>
              <w:rPr>
                <w:sz w:val="20"/>
                <w:szCs w:val="20"/>
                <w:color w:val="auto"/>
              </w:rPr>
            </w:pPr>
            <w:r>
              <w:rPr>
                <w:rFonts w:ascii="Arial" w:cs="Arial" w:eastAsia="Arial" w:hAnsi="Arial"/>
                <w:sz w:val="16"/>
                <w:szCs w:val="16"/>
                <w:b w:val="1"/>
                <w:bCs w:val="1"/>
                <w:color w:val="auto"/>
              </w:rPr>
              <w:t>Net change in cash and cash equivalents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(16,820)</w:t>
            </w:r>
          </w:p>
        </w:tc>
      </w:tr>
      <w:tr>
        <w:trPr>
          <w:trHeight w:val="215"/>
        </w:trPr>
        <w:tc>
          <w:tcPr>
            <w:tcW w:w="20" w:type="dxa"/>
            <w:vAlign w:val="bottom"/>
            <w:shd w:val="clear" w:color="auto" w:fill="CCEEFF"/>
          </w:tcPr>
          <w:p>
            <w:pPr>
              <w:spacing w:after="0"/>
              <w:rPr>
                <w:sz w:val="18"/>
                <w:szCs w:val="18"/>
                <w:color w:val="auto"/>
              </w:rPr>
            </w:pPr>
          </w:p>
        </w:tc>
        <w:tc>
          <w:tcPr>
            <w:tcW w:w="80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and cash equivalents -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213,392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268,975</w:t>
            </w:r>
          </w:p>
        </w:tc>
      </w:tr>
      <w:tr>
        <w:trPr>
          <w:trHeight w:val="210"/>
        </w:trPr>
        <w:tc>
          <w:tcPr>
            <w:tcW w:w="20" w:type="dxa"/>
            <w:vAlign w:val="bottom"/>
          </w:tcPr>
          <w:p>
            <w:pPr>
              <w:spacing w:after="0"/>
              <w:rPr>
                <w:sz w:val="18"/>
                <w:szCs w:val="18"/>
                <w:color w:val="auto"/>
              </w:rPr>
            </w:pPr>
          </w:p>
        </w:tc>
        <w:tc>
          <w:tcPr>
            <w:tcW w:w="8060" w:type="dxa"/>
            <w:vAlign w:val="bottom"/>
            <w:gridSpan w:val="4"/>
          </w:tcPr>
          <w:p>
            <w:pPr>
              <w:spacing w:after="0"/>
              <w:rPr>
                <w:sz w:val="20"/>
                <w:szCs w:val="20"/>
                <w:color w:val="auto"/>
              </w:rPr>
            </w:pPr>
            <w:r>
              <w:rPr>
                <w:rFonts w:ascii="Arial" w:cs="Arial" w:eastAsia="Arial" w:hAnsi="Arial"/>
                <w:sz w:val="16"/>
                <w:szCs w:val="16"/>
                <w:b w:val="1"/>
                <w:bCs w:val="1"/>
                <w:color w:val="auto"/>
              </w:rPr>
              <w:t>Cash and cash equivalents - end of period</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210,522</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252,155</w:t>
            </w: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RED RIVER BANCSHARES,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 (CONTINUED) (UNAUDITED)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16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6"/>
                <w:szCs w:val="16"/>
                <w:b w:val="1"/>
                <w:bCs w:val="1"/>
                <w:color w:val="auto"/>
              </w:rPr>
              <w:t>For the Three Months Ended March 31,</w:t>
            </w:r>
          </w:p>
        </w:tc>
      </w:tr>
      <w:tr>
        <w:trPr>
          <w:trHeight w:val="209"/>
        </w:trPr>
        <w:tc>
          <w:tcPr>
            <w:tcW w:w="20" w:type="dxa"/>
            <w:vAlign w:val="bottom"/>
            <w:tcBorders>
              <w:bottom w:val="single" w:sz="8" w:color="CCEEFF"/>
            </w:tcBorders>
          </w:tcPr>
          <w:p>
            <w:pPr>
              <w:spacing w:after="0"/>
              <w:rPr>
                <w:sz w:val="18"/>
                <w:szCs w:val="18"/>
                <w:color w:val="auto"/>
              </w:rPr>
            </w:pPr>
          </w:p>
        </w:tc>
        <w:tc>
          <w:tcPr>
            <w:tcW w:w="80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i w:val="1"/>
                <w:iCs w:val="1"/>
                <w:color w:val="auto"/>
              </w:rPr>
              <w:t>(in thousands)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250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SUPPLEMENTAL DISCLOSURES</w:t>
            </w:r>
          </w:p>
        </w:tc>
        <w:tc>
          <w:tcPr>
            <w:tcW w:w="5560" w:type="dxa"/>
            <w:vAlign w:val="bottom"/>
            <w:tcBorders>
              <w:bottom w:val="single" w:sz="8" w:color="CCEEFF"/>
            </w:tcBorders>
            <w:gridSpan w:val="2"/>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8060" w:type="dxa"/>
            <w:vAlign w:val="bottom"/>
            <w:gridSpan w:val="3"/>
          </w:tcPr>
          <w:p>
            <w:pPr>
              <w:ind w:left="120"/>
              <w:spacing w:after="0"/>
              <w:rPr>
                <w:sz w:val="20"/>
                <w:szCs w:val="20"/>
                <w:color w:val="auto"/>
              </w:rPr>
            </w:pPr>
            <w:r>
              <w:rPr>
                <w:rFonts w:ascii="Arial" w:cs="Arial" w:eastAsia="Arial" w:hAnsi="Arial"/>
                <w:sz w:val="16"/>
                <w:szCs w:val="16"/>
                <w:color w:val="auto"/>
              </w:rPr>
              <w:t>Cash paid during the period for:</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80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Interest</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10,844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12,318</w:t>
            </w:r>
          </w:p>
        </w:tc>
      </w:tr>
      <w:tr>
        <w:trPr>
          <w:trHeight w:val="189"/>
        </w:trPr>
        <w:tc>
          <w:tcPr>
            <w:tcW w:w="20" w:type="dxa"/>
            <w:vAlign w:val="bottom"/>
          </w:tcPr>
          <w:p>
            <w:pPr>
              <w:spacing w:after="0"/>
              <w:rPr>
                <w:sz w:val="16"/>
                <w:szCs w:val="16"/>
                <w:color w:val="auto"/>
              </w:rPr>
            </w:pPr>
          </w:p>
        </w:tc>
        <w:tc>
          <w:tcPr>
            <w:tcW w:w="8060" w:type="dxa"/>
            <w:vAlign w:val="bottom"/>
            <w:gridSpan w:val="3"/>
          </w:tcPr>
          <w:p>
            <w:pPr>
              <w:spacing w:after="0"/>
              <w:rPr>
                <w:sz w:val="20"/>
                <w:szCs w:val="20"/>
                <w:color w:val="auto"/>
              </w:rPr>
            </w:pPr>
            <w:r>
              <w:rPr>
                <w:rFonts w:ascii="Arial" w:cs="Arial" w:eastAsia="Arial" w:hAnsi="Arial"/>
                <w:sz w:val="16"/>
                <w:szCs w:val="16"/>
                <w:color w:val="auto"/>
              </w:rPr>
              <w:t>SUPPLEMENTAL INFORMATION FOR NON-CASH INVESTING AND FINANCING ACTIVITIES</w:t>
            </w: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2500" w:type="dxa"/>
            <w:vAlign w:val="bottom"/>
            <w:tcBorders>
              <w:top w:val="single" w:sz="8" w:color="auto"/>
            </w:tcBorders>
          </w:tcPr>
          <w:p>
            <w:pPr>
              <w:spacing w:after="0"/>
              <w:rPr>
                <w:sz w:val="2"/>
                <w:szCs w:val="2"/>
                <w:color w:val="auto"/>
              </w:rPr>
            </w:pPr>
          </w:p>
        </w:tc>
        <w:tc>
          <w:tcPr>
            <w:tcW w:w="4420" w:type="dxa"/>
            <w:vAlign w:val="bottom"/>
            <w:tcBorders>
              <w:top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806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Assets acquired in settlement of loans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RED RIVER BANCSHARES,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124"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Basis of Presentation</w:t>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accompanying unaudited consolidated financial statements of the Company were prepared in accordance with GAAP for interim financial information, general practices within the financial services industry, and instructions for Form 10-Q and Regulation S-X. Accordingly, these interim financial statements do not include all of the information or footnotes required by GAAP for annual financial statements. However, in the opinion of management, all adjustments (consisting of normal recurring adjustments) necessary for a fair presentation of the financial statements have been included. The results of operations for the interim periods disclosed herein are not necessarily indicative of the results that may be expected for the entire fiscal year. These statements should be read in conjunction with the Company’s audited consolidated financial statements and notes thereto for the year ended December 31, 2025, included in the Company’s Annual Report on Form 10-K for the year ended December 31, 2025.</w:t>
      </w:r>
    </w:p>
    <w:p>
      <w:pPr>
        <w:spacing w:after="0" w:line="95"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Certain prior period amounts have been reclassified to conform to the current period presentation. These changes in presentation did not have a material impact on the Company’s financial condition or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Critical Accounting Policies and Estimates</w:t>
      </w:r>
    </w:p>
    <w:p>
      <w:pPr>
        <w:spacing w:after="0" w:line="125"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In preparing the financial statements, the Company is required to make estimates and assumptions that affect the amounts reported in the financial statements and accompanying notes. Actual results could differ from those estimates. The financial statements reflect all adjustments that are, in the opinion of management, necessary for a fair statement of the Company’s financial condition, results of operations, comprehensive income, changes in stockholders’ equity, and cash flows for the interim period presented. These adjustments are of a normal recurring nature and include appropriate estimated provisions.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Accounting Standards Adopted in 2026</w:t>
      </w:r>
    </w:p>
    <w:p>
      <w:pPr>
        <w:spacing w:after="0" w:line="138" w:lineRule="exact"/>
        <w:rPr>
          <w:sz w:val="20"/>
          <w:szCs w:val="20"/>
          <w:color w:val="auto"/>
        </w:rPr>
      </w:pPr>
    </w:p>
    <w:p>
      <w:pPr>
        <w:ind w:right="100"/>
        <w:spacing w:after="0" w:line="198" w:lineRule="exact"/>
        <w:rPr>
          <w:sz w:val="20"/>
          <w:szCs w:val="20"/>
          <w:color w:val="auto"/>
        </w:rPr>
      </w:pPr>
      <w:r>
        <w:rPr>
          <w:rFonts w:ascii="Arial" w:cs="Arial" w:eastAsia="Arial" w:hAnsi="Arial"/>
          <w:sz w:val="16"/>
          <w:szCs w:val="16"/>
          <w:i w:val="1"/>
          <w:iCs w:val="1"/>
          <w:color w:val="auto"/>
        </w:rPr>
        <w:t xml:space="preserve">ASU No. 2025-08, Financial Instruments - Credit Losses (Topic 326): Purchased Loans. </w:t>
      </w:r>
      <w:r>
        <w:rPr>
          <w:rFonts w:ascii="Arial" w:cs="Arial" w:eastAsia="Arial" w:hAnsi="Arial"/>
          <w:sz w:val="16"/>
          <w:szCs w:val="16"/>
          <w:color w:val="auto"/>
        </w:rPr>
        <w:t>The guidance issued in this update was designed to improve the</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 usefulness of the financial reporting for acquired financial assets. This amendment allows the gross</w:t>
      </w:r>
      <w:r>
        <w:rPr>
          <w:rFonts w:ascii="MS PGothic" w:cs="MS PGothic" w:eastAsia="MS PGothic" w:hAnsi="MS PGothic"/>
          <w:sz w:val="16"/>
          <w:szCs w:val="16"/>
          <w:color w:val="auto"/>
        </w:rPr>
        <w:t>‑</w:t>
      </w:r>
      <w:r>
        <w:rPr>
          <w:rFonts w:ascii="Arial" w:cs="Arial" w:eastAsia="Arial" w:hAnsi="Arial"/>
          <w:sz w:val="16"/>
          <w:szCs w:val="16"/>
          <w:color w:val="auto"/>
        </w:rPr>
        <w:t>up method to apply to certain non</w:t>
      </w:r>
      <w:r>
        <w:rPr>
          <w:rFonts w:ascii="MS PGothic" w:cs="MS PGothic" w:eastAsia="MS PGothic" w:hAnsi="MS PGothic"/>
          <w:sz w:val="16"/>
          <w:szCs w:val="16"/>
          <w:color w:val="auto"/>
        </w:rPr>
        <w:t>‑</w:t>
      </w:r>
      <w:r>
        <w:rPr>
          <w:rFonts w:ascii="Arial" w:cs="Arial" w:eastAsia="Arial" w:hAnsi="Arial"/>
          <w:sz w:val="16"/>
          <w:szCs w:val="16"/>
          <w:color w:val="auto"/>
        </w:rPr>
        <w:t>PCD loans acquired in a business combination that qualify as purchased seasoned loans. These loans are now accounted for the same as PCD loans, with an ACL established at acquisition and recorded through a gross</w:t>
      </w:r>
      <w:r>
        <w:rPr>
          <w:rFonts w:ascii="MS PGothic" w:cs="MS PGothic" w:eastAsia="MS PGothic" w:hAnsi="MS PGothic"/>
          <w:sz w:val="16"/>
          <w:szCs w:val="16"/>
          <w:color w:val="auto"/>
        </w:rPr>
        <w:t>‑</w:t>
      </w:r>
      <w:r>
        <w:rPr>
          <w:rFonts w:ascii="Arial" w:cs="Arial" w:eastAsia="Arial" w:hAnsi="Arial"/>
          <w:sz w:val="16"/>
          <w:szCs w:val="16"/>
          <w:color w:val="auto"/>
        </w:rPr>
        <w:t>up to the loan’s amortized cost basis. This standard is effective for all entities for annual reporting periods beginning after December 15, 2026, and interim reporting periods within those annual reporting periods. The amendments in this update should be applied prospectively to loans that are acquired on or after the initial application date. Early adoption is permitted in an interim or annual reporting period in which financial statements have not been issued. The Company adopted this standard on January 1, 2026. Adoption of this ASU did not have an impact on the Company’s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Recent Accounting Pronouncements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ASU No. 2024-03, Income Statement - Reporting Comprehensive Income - Expense Disaggregation Disclosures (Subtopic 220-40). </w:t>
      </w:r>
      <w:r>
        <w:rPr>
          <w:rFonts w:ascii="Arial" w:cs="Arial" w:eastAsia="Arial" w:hAnsi="Arial"/>
          <w:sz w:val="16"/>
          <w:szCs w:val="16"/>
          <w:color w:val="auto"/>
        </w:rPr>
        <w:t>The guidance issued in</w:t>
      </w:r>
    </w:p>
    <w:p>
      <w:pPr>
        <w:spacing w:after="0" w:line="3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this update was designed to improve financial reporting by requiring entities to disclose additional information about specific expense categories in the notes to financial statements. This standard is effective for annual reporting periods beginning after December 15, 2026, and interim reporting periods beginning after December 15, 2027. Early adoption is permitted. The amendments in this update should be applied either prospectively to financial statements issued for reporting periods after the effective date of this update or retrospectively to any or all prior periods presented in the financial statements. The Company does not expect the adoption of this guidance to have a material impact on the Company’s consolidated financial statements.</w:t>
      </w:r>
    </w:p>
    <w:p>
      <w:pPr>
        <w:spacing w:after="0" w:line="100"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Securities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Securities are classified as AFS, HTM, and equity securities. Total securities were $762.4 million as of March 31, 2026.</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Securities AFS and Securities HTM</w:t>
      </w:r>
    </w:p>
    <w:p>
      <w:pPr>
        <w:spacing w:after="0" w:line="138"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Securities AFS and securities HTM are debt securities. Securities AFS are held for indefinite periods of time and are carried at estimated fair value. As of March 31, 2026, the estimated fair value of securities AFS was $638.7 million. The net unrealized loss on securities AFS increased $3.2 million for the three months ended March 31, 2026, resulting in a net unrealized loss of $46.4 million as of March 31, 2026.</w:t>
      </w:r>
    </w:p>
    <w:p>
      <w:pPr>
        <w:spacing w:after="0" w:line="8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Securities HTM, which the Company has the intent and ability to hold until maturity, are carried at amortized cost. As of March 31, 2026, the amortized cost of securities HTM was $120.6 million.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Investment activity for the three months ended March 31, 2026, included $32.1 million in maturities, principal repayments, and calls, partially offset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$24.7 million of securities purchased. There were no sales of securities AFS, and there were no purchases or sales of securities HTM for the same period.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amortized cost and estimated fair value of securities AFS and securities HTM are summarized in the following tables: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6"/>
                <w:szCs w:val="16"/>
                <w:b w:val="1"/>
                <w:bCs w:val="1"/>
                <w:color w:val="auto"/>
              </w:rPr>
              <w:t>March 31, 2026</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9"/>
              </w:rPr>
              <w:t>Amortized</w:t>
            </w:r>
          </w:p>
        </w:tc>
        <w:tc>
          <w:tcPr>
            <w:tcW w:w="220" w:type="dxa"/>
            <w:vAlign w:val="bottom"/>
          </w:tcPr>
          <w:p>
            <w:pPr>
              <w:spacing w:after="0"/>
              <w:rPr>
                <w:sz w:val="13"/>
                <w:szCs w:val="13"/>
                <w:color w:val="auto"/>
              </w:rPr>
            </w:pPr>
          </w:p>
        </w:tc>
        <w:tc>
          <w:tcPr>
            <w:tcW w:w="1400" w:type="dxa"/>
            <w:vAlign w:val="bottom"/>
            <w:gridSpan w:val="2"/>
          </w:tcPr>
          <w:p>
            <w:pPr>
              <w:jc w:val="center"/>
              <w:ind w:right="340"/>
              <w:spacing w:after="0" w:line="155" w:lineRule="exact"/>
              <w:rPr>
                <w:sz w:val="20"/>
                <w:szCs w:val="20"/>
                <w:color w:val="auto"/>
              </w:rPr>
            </w:pPr>
            <w:r>
              <w:rPr>
                <w:rFonts w:ascii="Arial" w:cs="Arial" w:eastAsia="Arial" w:hAnsi="Arial"/>
                <w:sz w:val="16"/>
                <w:szCs w:val="16"/>
                <w:b w:val="1"/>
                <w:bCs w:val="1"/>
                <w:color w:val="auto"/>
                <w:w w:val="99"/>
              </w:rPr>
              <w:t>Gross</w:t>
            </w:r>
          </w:p>
        </w:tc>
        <w:tc>
          <w:tcPr>
            <w:tcW w:w="220" w:type="dxa"/>
            <w:vAlign w:val="bottom"/>
          </w:tcPr>
          <w:p>
            <w:pPr>
              <w:spacing w:after="0"/>
              <w:rPr>
                <w:sz w:val="13"/>
                <w:szCs w:val="13"/>
                <w:color w:val="auto"/>
              </w:rPr>
            </w:pPr>
          </w:p>
        </w:tc>
        <w:tc>
          <w:tcPr>
            <w:tcW w:w="1400" w:type="dxa"/>
            <w:vAlign w:val="bottom"/>
            <w:gridSpan w:val="2"/>
          </w:tcPr>
          <w:p>
            <w:pPr>
              <w:jc w:val="center"/>
              <w:ind w:right="320"/>
              <w:spacing w:after="0" w:line="155" w:lineRule="exact"/>
              <w:rPr>
                <w:sz w:val="20"/>
                <w:szCs w:val="20"/>
                <w:color w:val="auto"/>
              </w:rPr>
            </w:pPr>
            <w:r>
              <w:rPr>
                <w:rFonts w:ascii="Arial" w:cs="Arial" w:eastAsia="Arial" w:hAnsi="Arial"/>
                <w:sz w:val="16"/>
                <w:szCs w:val="16"/>
                <w:b w:val="1"/>
                <w:bCs w:val="1"/>
                <w:color w:val="auto"/>
              </w:rPr>
              <w:t>Gross</w:t>
            </w:r>
          </w:p>
        </w:tc>
        <w:tc>
          <w:tcPr>
            <w:tcW w:w="340" w:type="dxa"/>
            <w:vAlign w:val="bottom"/>
          </w:tcPr>
          <w:p>
            <w:pPr>
              <w:spacing w:after="0"/>
              <w:rPr>
                <w:sz w:val="13"/>
                <w:szCs w:val="13"/>
                <w:color w:val="auto"/>
              </w:rPr>
            </w:pPr>
          </w:p>
        </w:tc>
        <w:tc>
          <w:tcPr>
            <w:tcW w:w="1180" w:type="dxa"/>
            <w:vAlign w:val="bottom"/>
            <w:vMerge w:val="restart"/>
          </w:tcPr>
          <w:p>
            <w:pPr>
              <w:jc w:val="center"/>
              <w:ind w:right="239"/>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162"/>
        </w:trPr>
        <w:tc>
          <w:tcPr>
            <w:tcW w:w="48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rPr>
              <w:t>Unrealized</w:t>
            </w:r>
          </w:p>
        </w:tc>
        <w:tc>
          <w:tcPr>
            <w:tcW w:w="220" w:type="dxa"/>
            <w:vAlign w:val="bottom"/>
          </w:tcPr>
          <w:p>
            <w:pPr>
              <w:spacing w:after="0"/>
              <w:rPr>
                <w:sz w:val="14"/>
                <w:szCs w:val="14"/>
                <w:color w:val="auto"/>
              </w:rPr>
            </w:pPr>
          </w:p>
        </w:tc>
        <w:tc>
          <w:tcPr>
            <w:tcW w:w="140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rPr>
              <w:t>Unrealized</w:t>
            </w:r>
          </w:p>
        </w:tc>
        <w:tc>
          <w:tcPr>
            <w:tcW w:w="3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Cost</w:t>
            </w:r>
          </w:p>
        </w:tc>
        <w:tc>
          <w:tcPr>
            <w:tcW w:w="22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Gains</w:t>
            </w: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Losses</w:t>
            </w:r>
          </w:p>
        </w:tc>
        <w:tc>
          <w:tcPr>
            <w:tcW w:w="340" w:type="dxa"/>
            <w:vAlign w:val="bottom"/>
          </w:tcPr>
          <w:p>
            <w:pPr>
              <w:spacing w:after="0"/>
              <w:rPr>
                <w:sz w:val="18"/>
                <w:szCs w:val="18"/>
                <w:color w:val="auto"/>
              </w:rPr>
            </w:pPr>
          </w:p>
        </w:tc>
        <w:tc>
          <w:tcPr>
            <w:tcW w:w="1180" w:type="dxa"/>
            <w:vAlign w:val="bottom"/>
          </w:tcPr>
          <w:p>
            <w:pPr>
              <w:jc w:val="center"/>
              <w:ind w:right="239"/>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Securities AFS:</w:t>
            </w: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140"/>
              <w:spacing w:after="0"/>
              <w:rPr>
                <w:sz w:val="20"/>
                <w:szCs w:val="20"/>
                <w:color w:val="auto"/>
              </w:rPr>
            </w:pPr>
            <w:r>
              <w:rPr>
                <w:rFonts w:ascii="Arial" w:cs="Arial" w:eastAsia="Arial" w:hAnsi="Arial"/>
                <w:sz w:val="16"/>
                <w:szCs w:val="16"/>
                <w:color w:val="auto"/>
              </w:rPr>
              <w:t>Mortgage-backed securities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427,107</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1,147</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(18,742)</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409,512</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Municipal bonds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195,139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167,389</w:t>
            </w:r>
          </w:p>
        </w:tc>
        <w:tc>
          <w:tcPr>
            <w:tcW w:w="0" w:type="dxa"/>
            <w:vAlign w:val="bottom"/>
          </w:tcPr>
          <w:p>
            <w:pPr>
              <w:spacing w:after="0"/>
              <w:rPr>
                <w:sz w:val="1"/>
                <w:szCs w:val="1"/>
                <w:color w:val="auto"/>
              </w:rPr>
            </w:pPr>
          </w:p>
        </w:tc>
      </w:tr>
      <w:tr>
        <w:trPr>
          <w:trHeight w:val="215"/>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U.S. agency securities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62,887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61,828</w:t>
            </w:r>
          </w:p>
        </w:tc>
        <w:tc>
          <w:tcPr>
            <w:tcW w:w="0" w:type="dxa"/>
            <w:vAlign w:val="bottom"/>
          </w:tcPr>
          <w:p>
            <w:pPr>
              <w:spacing w:after="0"/>
              <w:rPr>
                <w:sz w:val="1"/>
                <w:szCs w:val="1"/>
                <w:color w:val="auto"/>
              </w:rPr>
            </w:pPr>
          </w:p>
        </w:tc>
      </w:tr>
      <w:tr>
        <w:trPr>
          <w:trHeight w:val="234"/>
        </w:trPr>
        <w:tc>
          <w:tcPr>
            <w:tcW w:w="4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Securities AFS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685,133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(47,589)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638,729</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HTM:</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140"/>
              <w:spacing w:after="0"/>
              <w:rPr>
                <w:sz w:val="20"/>
                <w:szCs w:val="20"/>
                <w:color w:val="auto"/>
              </w:rPr>
            </w:pPr>
            <w:r>
              <w:rPr>
                <w:rFonts w:ascii="Arial" w:cs="Arial" w:eastAsia="Arial" w:hAnsi="Arial"/>
                <w:sz w:val="16"/>
                <w:szCs w:val="16"/>
                <w:color w:val="auto"/>
              </w:rPr>
              <w:t>Mortgage-backed securities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119,664</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(18,628)</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101,036</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agency securities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0" w:type="dxa"/>
            <w:vAlign w:val="bottom"/>
          </w:tcPr>
          <w:p>
            <w:pPr>
              <w:spacing w:after="0"/>
              <w:rPr>
                <w:sz w:val="1"/>
                <w:szCs w:val="1"/>
                <w:color w:val="auto"/>
              </w:rPr>
            </w:pPr>
          </w:p>
        </w:tc>
      </w:tr>
      <w:tr>
        <w:trPr>
          <w:trHeight w:val="209"/>
        </w:trPr>
        <w:tc>
          <w:tcPr>
            <w:tcW w:w="4860" w:type="dxa"/>
            <w:vAlign w:val="bottom"/>
          </w:tcPr>
          <w:p>
            <w:pPr>
              <w:ind w:left="220"/>
              <w:spacing w:after="0"/>
              <w:rPr>
                <w:sz w:val="20"/>
                <w:szCs w:val="20"/>
                <w:color w:val="auto"/>
              </w:rPr>
            </w:pPr>
            <w:r>
              <w:rPr>
                <w:rFonts w:ascii="Arial" w:cs="Arial" w:eastAsia="Arial" w:hAnsi="Arial"/>
                <w:sz w:val="16"/>
                <w:szCs w:val="16"/>
                <w:color w:val="auto"/>
              </w:rPr>
              <w:t>Total Securities HTM</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120,609</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(18,692)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101,917</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8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6"/>
                <w:szCs w:val="16"/>
                <w:b w:val="1"/>
                <w:bCs w:val="1"/>
                <w:color w:val="auto"/>
              </w:rPr>
              <w:t>December 31, 2025</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9"/>
              </w:rPr>
              <w:t>Amortized</w:t>
            </w:r>
          </w:p>
        </w:tc>
        <w:tc>
          <w:tcPr>
            <w:tcW w:w="220" w:type="dxa"/>
            <w:vAlign w:val="bottom"/>
          </w:tcPr>
          <w:p>
            <w:pPr>
              <w:spacing w:after="0"/>
              <w:rPr>
                <w:sz w:val="13"/>
                <w:szCs w:val="13"/>
                <w:color w:val="auto"/>
              </w:rPr>
            </w:pPr>
          </w:p>
        </w:tc>
        <w:tc>
          <w:tcPr>
            <w:tcW w:w="1400" w:type="dxa"/>
            <w:vAlign w:val="bottom"/>
            <w:gridSpan w:val="2"/>
          </w:tcPr>
          <w:p>
            <w:pPr>
              <w:jc w:val="center"/>
              <w:ind w:right="340"/>
              <w:spacing w:after="0" w:line="155" w:lineRule="exact"/>
              <w:rPr>
                <w:sz w:val="20"/>
                <w:szCs w:val="20"/>
                <w:color w:val="auto"/>
              </w:rPr>
            </w:pPr>
            <w:r>
              <w:rPr>
                <w:rFonts w:ascii="Arial" w:cs="Arial" w:eastAsia="Arial" w:hAnsi="Arial"/>
                <w:sz w:val="16"/>
                <w:szCs w:val="16"/>
                <w:b w:val="1"/>
                <w:bCs w:val="1"/>
                <w:color w:val="auto"/>
                <w:w w:val="99"/>
              </w:rPr>
              <w:t>Gross</w:t>
            </w:r>
          </w:p>
        </w:tc>
        <w:tc>
          <w:tcPr>
            <w:tcW w:w="220" w:type="dxa"/>
            <w:vAlign w:val="bottom"/>
          </w:tcPr>
          <w:p>
            <w:pPr>
              <w:spacing w:after="0"/>
              <w:rPr>
                <w:sz w:val="13"/>
                <w:szCs w:val="13"/>
                <w:color w:val="auto"/>
              </w:rPr>
            </w:pPr>
          </w:p>
        </w:tc>
        <w:tc>
          <w:tcPr>
            <w:tcW w:w="1400" w:type="dxa"/>
            <w:vAlign w:val="bottom"/>
            <w:gridSpan w:val="2"/>
          </w:tcPr>
          <w:p>
            <w:pPr>
              <w:jc w:val="center"/>
              <w:ind w:right="320"/>
              <w:spacing w:after="0" w:line="155" w:lineRule="exact"/>
              <w:rPr>
                <w:sz w:val="20"/>
                <w:szCs w:val="20"/>
                <w:color w:val="auto"/>
              </w:rPr>
            </w:pPr>
            <w:r>
              <w:rPr>
                <w:rFonts w:ascii="Arial" w:cs="Arial" w:eastAsia="Arial" w:hAnsi="Arial"/>
                <w:sz w:val="16"/>
                <w:szCs w:val="16"/>
                <w:b w:val="1"/>
                <w:bCs w:val="1"/>
                <w:color w:val="auto"/>
              </w:rPr>
              <w:t>Gross</w:t>
            </w:r>
          </w:p>
        </w:tc>
        <w:tc>
          <w:tcPr>
            <w:tcW w:w="340" w:type="dxa"/>
            <w:vAlign w:val="bottom"/>
          </w:tcPr>
          <w:p>
            <w:pPr>
              <w:spacing w:after="0"/>
              <w:rPr>
                <w:sz w:val="13"/>
                <w:szCs w:val="13"/>
                <w:color w:val="auto"/>
              </w:rPr>
            </w:pPr>
          </w:p>
        </w:tc>
        <w:tc>
          <w:tcPr>
            <w:tcW w:w="1180" w:type="dxa"/>
            <w:vAlign w:val="bottom"/>
            <w:vMerge w:val="restart"/>
          </w:tcPr>
          <w:p>
            <w:pPr>
              <w:jc w:val="center"/>
              <w:ind w:right="239"/>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162"/>
        </w:trPr>
        <w:tc>
          <w:tcPr>
            <w:tcW w:w="48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rPr>
              <w:t>Unrealized</w:t>
            </w:r>
          </w:p>
        </w:tc>
        <w:tc>
          <w:tcPr>
            <w:tcW w:w="220" w:type="dxa"/>
            <w:vAlign w:val="bottom"/>
          </w:tcPr>
          <w:p>
            <w:pPr>
              <w:spacing w:after="0"/>
              <w:rPr>
                <w:sz w:val="14"/>
                <w:szCs w:val="14"/>
                <w:color w:val="auto"/>
              </w:rPr>
            </w:pPr>
          </w:p>
        </w:tc>
        <w:tc>
          <w:tcPr>
            <w:tcW w:w="140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rPr>
              <w:t>Unrealized</w:t>
            </w:r>
          </w:p>
        </w:tc>
        <w:tc>
          <w:tcPr>
            <w:tcW w:w="3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Cost</w:t>
            </w:r>
          </w:p>
        </w:tc>
        <w:tc>
          <w:tcPr>
            <w:tcW w:w="22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Gains</w:t>
            </w: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Losses</w:t>
            </w:r>
          </w:p>
        </w:tc>
        <w:tc>
          <w:tcPr>
            <w:tcW w:w="340" w:type="dxa"/>
            <w:vAlign w:val="bottom"/>
          </w:tcPr>
          <w:p>
            <w:pPr>
              <w:spacing w:after="0"/>
              <w:rPr>
                <w:sz w:val="18"/>
                <w:szCs w:val="18"/>
                <w:color w:val="auto"/>
              </w:rPr>
            </w:pPr>
          </w:p>
        </w:tc>
        <w:tc>
          <w:tcPr>
            <w:tcW w:w="1180" w:type="dxa"/>
            <w:vAlign w:val="bottom"/>
          </w:tcPr>
          <w:p>
            <w:pPr>
              <w:jc w:val="center"/>
              <w:ind w:right="239"/>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Securities AFS:</w:t>
            </w: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140"/>
              <w:spacing w:after="0"/>
              <w:rPr>
                <w:sz w:val="20"/>
                <w:szCs w:val="20"/>
                <w:color w:val="auto"/>
              </w:rPr>
            </w:pPr>
            <w:r>
              <w:rPr>
                <w:rFonts w:ascii="Arial" w:cs="Arial" w:eastAsia="Arial" w:hAnsi="Arial"/>
                <w:sz w:val="16"/>
                <w:szCs w:val="16"/>
                <w:color w:val="auto"/>
              </w:rPr>
              <w:t>Mortgage-backed securities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426,732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1,846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(18,549)</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410,029</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Municipal bonds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196,607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171,300</w:t>
            </w:r>
          </w:p>
        </w:tc>
        <w:tc>
          <w:tcPr>
            <w:tcW w:w="0" w:type="dxa"/>
            <w:vAlign w:val="bottom"/>
          </w:tcPr>
          <w:p>
            <w:pPr>
              <w:spacing w:after="0"/>
              <w:rPr>
                <w:sz w:val="1"/>
                <w:szCs w:val="1"/>
                <w:color w:val="auto"/>
              </w:rPr>
            </w:pPr>
          </w:p>
        </w:tc>
      </w:tr>
      <w:tr>
        <w:trPr>
          <w:trHeight w:val="215"/>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U.S. agency securities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67,146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65,981</w:t>
            </w:r>
          </w:p>
        </w:tc>
        <w:tc>
          <w:tcPr>
            <w:tcW w:w="0" w:type="dxa"/>
            <w:vAlign w:val="bottom"/>
          </w:tcPr>
          <w:p>
            <w:pPr>
              <w:spacing w:after="0"/>
              <w:rPr>
                <w:sz w:val="1"/>
                <w:szCs w:val="1"/>
                <w:color w:val="auto"/>
              </w:rPr>
            </w:pPr>
          </w:p>
        </w:tc>
      </w:tr>
      <w:tr>
        <w:trPr>
          <w:trHeight w:val="234"/>
        </w:trPr>
        <w:tc>
          <w:tcPr>
            <w:tcW w:w="4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Securities AFS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690,485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(45,054)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647,310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HTM:</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140"/>
              <w:spacing w:after="0"/>
              <w:rPr>
                <w:sz w:val="20"/>
                <w:szCs w:val="20"/>
                <w:color w:val="auto"/>
              </w:rPr>
            </w:pPr>
            <w:r>
              <w:rPr>
                <w:rFonts w:ascii="Arial" w:cs="Arial" w:eastAsia="Arial" w:hAnsi="Arial"/>
                <w:sz w:val="16"/>
                <w:szCs w:val="16"/>
                <w:color w:val="auto"/>
              </w:rPr>
              <w:t>Mortgage-backed securities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121,677</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(18,189)</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103,488</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agency securities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w:t>
            </w:r>
          </w:p>
        </w:tc>
        <w:tc>
          <w:tcPr>
            <w:tcW w:w="0" w:type="dxa"/>
            <w:vAlign w:val="bottom"/>
          </w:tcPr>
          <w:p>
            <w:pPr>
              <w:spacing w:after="0"/>
              <w:rPr>
                <w:sz w:val="1"/>
                <w:szCs w:val="1"/>
                <w:color w:val="auto"/>
              </w:rPr>
            </w:pPr>
          </w:p>
        </w:tc>
      </w:tr>
      <w:tr>
        <w:trPr>
          <w:trHeight w:val="209"/>
        </w:trPr>
        <w:tc>
          <w:tcPr>
            <w:tcW w:w="4860" w:type="dxa"/>
            <w:vAlign w:val="bottom"/>
          </w:tcPr>
          <w:p>
            <w:pPr>
              <w:ind w:left="220"/>
              <w:spacing w:after="0"/>
              <w:rPr>
                <w:sz w:val="20"/>
                <w:szCs w:val="20"/>
                <w:color w:val="auto"/>
              </w:rPr>
            </w:pPr>
            <w:r>
              <w:rPr>
                <w:rFonts w:ascii="Arial" w:cs="Arial" w:eastAsia="Arial" w:hAnsi="Arial"/>
                <w:sz w:val="16"/>
                <w:szCs w:val="16"/>
                <w:color w:val="auto"/>
              </w:rPr>
              <w:t>Total Securities HTM</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122,619</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(18,248)</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104,371</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amortized cost and estimated fair value of securities AFS and securities HTM as of March 31, 2026, by contractual maturity, are shown below. Expected maturities may differ from contractual maturities because issuers have the right to call or repay obligations with or without call or prepayment penalties.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 2026</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0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3"/>
                <w:szCs w:val="13"/>
                <w:color w:val="auto"/>
              </w:rPr>
            </w:pPr>
          </w:p>
        </w:tc>
        <w:tc>
          <w:tcPr>
            <w:tcW w:w="1400" w:type="dxa"/>
            <w:vAlign w:val="bottom"/>
            <w:gridSpan w:val="2"/>
          </w:tcPr>
          <w:p>
            <w:pPr>
              <w:jc w:val="center"/>
              <w:ind w:right="360"/>
              <w:spacing w:after="0" w:line="155" w:lineRule="exact"/>
              <w:rPr>
                <w:sz w:val="20"/>
                <w:szCs w:val="20"/>
                <w:color w:val="auto"/>
              </w:rPr>
            </w:pPr>
            <w:r>
              <w:rPr>
                <w:rFonts w:ascii="Arial" w:cs="Arial" w:eastAsia="Arial" w:hAnsi="Arial"/>
                <w:sz w:val="16"/>
                <w:szCs w:val="16"/>
                <w:b w:val="1"/>
                <w:bCs w:val="1"/>
                <w:color w:val="auto"/>
              </w:rPr>
              <w:t>Amortized</w:t>
            </w:r>
          </w:p>
        </w:tc>
        <w:tc>
          <w:tcPr>
            <w:tcW w:w="540" w:type="dxa"/>
            <w:vAlign w:val="bottom"/>
          </w:tcPr>
          <w:p>
            <w:pPr>
              <w:spacing w:after="0"/>
              <w:rPr>
                <w:sz w:val="13"/>
                <w:szCs w:val="13"/>
                <w:color w:val="auto"/>
              </w:rPr>
            </w:pPr>
          </w:p>
        </w:tc>
        <w:tc>
          <w:tcPr>
            <w:tcW w:w="980" w:type="dxa"/>
            <w:vAlign w:val="bottom"/>
          </w:tcPr>
          <w:p>
            <w:pPr>
              <w:jc w:val="right"/>
              <w:ind w:right="539"/>
              <w:spacing w:after="0" w:line="155" w:lineRule="exact"/>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6"/>
        </w:trPr>
        <w:tc>
          <w:tcPr>
            <w:tcW w:w="80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Cost</w:t>
            </w:r>
          </w:p>
        </w:tc>
        <w:tc>
          <w:tcPr>
            <w:tcW w:w="540" w:type="dxa"/>
            <w:vAlign w:val="bottom"/>
          </w:tcPr>
          <w:p>
            <w:pPr>
              <w:spacing w:after="0"/>
              <w:rPr>
                <w:sz w:val="18"/>
                <w:szCs w:val="18"/>
                <w:color w:val="auto"/>
              </w:rPr>
            </w:pPr>
          </w:p>
        </w:tc>
        <w:tc>
          <w:tcPr>
            <w:tcW w:w="980" w:type="dxa"/>
            <w:vAlign w:val="bottom"/>
          </w:tcPr>
          <w:p>
            <w:pPr>
              <w:jc w:val="right"/>
              <w:ind w:right="479"/>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196"/>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Securities AFS:</w:t>
            </w:r>
          </w:p>
        </w:tc>
        <w:tc>
          <w:tcPr>
            <w:tcW w:w="2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080" w:type="dxa"/>
            <w:vAlign w:val="bottom"/>
          </w:tcPr>
          <w:p>
            <w:pPr>
              <w:ind w:left="140"/>
              <w:spacing w:after="0"/>
              <w:rPr>
                <w:sz w:val="20"/>
                <w:szCs w:val="20"/>
                <w:color w:val="auto"/>
              </w:rPr>
            </w:pPr>
            <w:r>
              <w:rPr>
                <w:rFonts w:ascii="Arial" w:cs="Arial" w:eastAsia="Arial" w:hAnsi="Arial"/>
                <w:sz w:val="16"/>
                <w:szCs w:val="16"/>
                <w:color w:val="auto"/>
              </w:rPr>
              <w:t>Within one year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4,121</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4,101</w:t>
            </w:r>
          </w:p>
        </w:tc>
        <w:tc>
          <w:tcPr>
            <w:tcW w:w="0" w:type="dxa"/>
            <w:vAlign w:val="bottom"/>
          </w:tcPr>
          <w:p>
            <w:pPr>
              <w:spacing w:after="0"/>
              <w:rPr>
                <w:sz w:val="1"/>
                <w:szCs w:val="1"/>
                <w:color w:val="auto"/>
              </w:rPr>
            </w:pPr>
          </w:p>
        </w:tc>
      </w:tr>
      <w:tr>
        <w:trPr>
          <w:trHeight w:val="217"/>
        </w:trPr>
        <w:tc>
          <w:tcPr>
            <w:tcW w:w="8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After one year but within five years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25,729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25,203</w:t>
            </w:r>
          </w:p>
        </w:tc>
        <w:tc>
          <w:tcPr>
            <w:tcW w:w="0" w:type="dxa"/>
            <w:vAlign w:val="bottom"/>
          </w:tcPr>
          <w:p>
            <w:pPr>
              <w:spacing w:after="0"/>
              <w:rPr>
                <w:sz w:val="1"/>
                <w:szCs w:val="1"/>
                <w:color w:val="auto"/>
              </w:rPr>
            </w:pPr>
          </w:p>
        </w:tc>
      </w:tr>
      <w:tr>
        <w:trPr>
          <w:trHeight w:val="215"/>
        </w:trPr>
        <w:tc>
          <w:tcPr>
            <w:tcW w:w="8080" w:type="dxa"/>
            <w:vAlign w:val="bottom"/>
          </w:tcPr>
          <w:p>
            <w:pPr>
              <w:ind w:left="140"/>
              <w:spacing w:after="0"/>
              <w:rPr>
                <w:sz w:val="20"/>
                <w:szCs w:val="20"/>
                <w:color w:val="auto"/>
              </w:rPr>
            </w:pPr>
            <w:r>
              <w:rPr>
                <w:rFonts w:ascii="Arial" w:cs="Arial" w:eastAsia="Arial" w:hAnsi="Arial"/>
                <w:sz w:val="16"/>
                <w:szCs w:val="16"/>
                <w:color w:val="auto"/>
              </w:rPr>
              <w:t>After five years but within ten years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139,483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130,673</w:t>
            </w:r>
          </w:p>
        </w:tc>
        <w:tc>
          <w:tcPr>
            <w:tcW w:w="0" w:type="dxa"/>
            <w:vAlign w:val="bottom"/>
          </w:tcPr>
          <w:p>
            <w:pPr>
              <w:spacing w:after="0"/>
              <w:rPr>
                <w:sz w:val="1"/>
                <w:szCs w:val="1"/>
                <w:color w:val="auto"/>
              </w:rPr>
            </w:pPr>
          </w:p>
        </w:tc>
      </w:tr>
      <w:tr>
        <w:trPr>
          <w:trHeight w:val="217"/>
        </w:trPr>
        <w:tc>
          <w:tcPr>
            <w:tcW w:w="8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After ten years</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515,800</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478,752</w:t>
            </w:r>
          </w:p>
        </w:tc>
        <w:tc>
          <w:tcPr>
            <w:tcW w:w="0" w:type="dxa"/>
            <w:vAlign w:val="bottom"/>
          </w:tcPr>
          <w:p>
            <w:pPr>
              <w:spacing w:after="0"/>
              <w:rPr>
                <w:sz w:val="1"/>
                <w:szCs w:val="1"/>
                <w:color w:val="auto"/>
              </w:rPr>
            </w:pPr>
          </w:p>
        </w:tc>
      </w:tr>
      <w:tr>
        <w:trPr>
          <w:trHeight w:val="209"/>
        </w:trPr>
        <w:tc>
          <w:tcPr>
            <w:tcW w:w="8080" w:type="dxa"/>
            <w:vAlign w:val="bottom"/>
          </w:tcPr>
          <w:p>
            <w:pPr>
              <w:ind w:left="260"/>
              <w:spacing w:after="0"/>
              <w:rPr>
                <w:sz w:val="20"/>
                <w:szCs w:val="20"/>
                <w:color w:val="auto"/>
              </w:rPr>
            </w:pPr>
            <w:r>
              <w:rPr>
                <w:rFonts w:ascii="Arial" w:cs="Arial" w:eastAsia="Arial" w:hAnsi="Arial"/>
                <w:sz w:val="16"/>
                <w:szCs w:val="16"/>
                <w:color w:val="auto"/>
              </w:rPr>
              <w:t>Total Securities AFS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685,133</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638,729</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080" w:type="dxa"/>
            <w:vAlign w:val="bottom"/>
          </w:tcPr>
          <w:p>
            <w:pPr>
              <w:ind w:left="20"/>
              <w:spacing w:after="0"/>
              <w:rPr>
                <w:sz w:val="20"/>
                <w:szCs w:val="20"/>
                <w:color w:val="auto"/>
              </w:rPr>
            </w:pPr>
            <w:r>
              <w:rPr>
                <w:rFonts w:ascii="Arial" w:cs="Arial" w:eastAsia="Arial" w:hAnsi="Arial"/>
                <w:sz w:val="16"/>
                <w:szCs w:val="16"/>
                <w:color w:val="auto"/>
              </w:rPr>
              <w:t>Securities HTM:</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Within one year</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80" w:type="dxa"/>
            <w:vAlign w:val="bottom"/>
          </w:tcPr>
          <w:p>
            <w:pPr>
              <w:ind w:left="140"/>
              <w:spacing w:after="0"/>
              <w:rPr>
                <w:sz w:val="20"/>
                <w:szCs w:val="20"/>
                <w:color w:val="auto"/>
              </w:rPr>
            </w:pPr>
            <w:r>
              <w:rPr>
                <w:rFonts w:ascii="Arial" w:cs="Arial" w:eastAsia="Arial" w:hAnsi="Arial"/>
                <w:sz w:val="16"/>
                <w:szCs w:val="16"/>
                <w:color w:val="auto"/>
              </w:rPr>
              <w:t>After one year but within five years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945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881</w:t>
            </w:r>
          </w:p>
        </w:tc>
        <w:tc>
          <w:tcPr>
            <w:tcW w:w="0" w:type="dxa"/>
            <w:vAlign w:val="bottom"/>
          </w:tcPr>
          <w:p>
            <w:pPr>
              <w:spacing w:after="0"/>
              <w:rPr>
                <w:sz w:val="1"/>
                <w:szCs w:val="1"/>
                <w:color w:val="auto"/>
              </w:rPr>
            </w:pPr>
          </w:p>
        </w:tc>
      </w:tr>
      <w:tr>
        <w:trPr>
          <w:trHeight w:val="217"/>
        </w:trPr>
        <w:tc>
          <w:tcPr>
            <w:tcW w:w="8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After five years but within ten years</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After ten years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119,664</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101,036</w:t>
            </w:r>
          </w:p>
        </w:tc>
        <w:tc>
          <w:tcPr>
            <w:tcW w:w="0" w:type="dxa"/>
            <w:vAlign w:val="bottom"/>
          </w:tcPr>
          <w:p>
            <w:pPr>
              <w:spacing w:after="0"/>
              <w:rPr>
                <w:sz w:val="1"/>
                <w:szCs w:val="1"/>
                <w:color w:val="auto"/>
              </w:rPr>
            </w:pPr>
          </w:p>
        </w:tc>
      </w:tr>
      <w:tr>
        <w:trPr>
          <w:trHeight w:val="235"/>
        </w:trPr>
        <w:tc>
          <w:tcPr>
            <w:tcW w:w="8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Securities HTM</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120,609</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101,917</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Accounting for Credit Losses – Securities AFS and Securities HTM</w:t>
      </w:r>
    </w:p>
    <w:p>
      <w:pPr>
        <w:spacing w:after="0" w:line="138"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Company evaluates securities AFS for impairment when there has been a decline in fair value below the amortized cost basis of a security to determine whether there is a credit loss associated with the decline in fair value on at least a quarterly basis, and more frequently when economic or market concerns warrant such evaluation. Due to the zero credit loss assumption and the evaluation of the considerations applied to the securities AFS, there was no ACL recorded for securities AFS as of March 31, 2026 and December 31, 2025. Also, as part of the Company’s evaluation of its intent and ability to hold investments for a period of time sufficient to allow for any anticipated recovery in the market, the Company considers its investment strategy, cash flow needs, liquidity position, capital adequacy, and interest rate risk position. Management does not intend to sell these securities, and it is more likely than not that the Company will not have to sell these securities before each security has recovered its amortized cost basis.</w:t>
      </w:r>
    </w:p>
    <w:p>
      <w:pPr>
        <w:spacing w:after="0" w:line="95" w:lineRule="exact"/>
        <w:rPr>
          <w:sz w:val="20"/>
          <w:szCs w:val="20"/>
          <w:color w:val="auto"/>
        </w:rPr>
      </w:pPr>
    </w:p>
    <w:p>
      <w:pPr>
        <w:ind w:right="940"/>
        <w:spacing w:after="0" w:line="304" w:lineRule="auto"/>
        <w:rPr>
          <w:sz w:val="20"/>
          <w:szCs w:val="20"/>
          <w:color w:val="auto"/>
        </w:rPr>
      </w:pPr>
      <w:r>
        <w:rPr>
          <w:rFonts w:ascii="Arial" w:cs="Arial" w:eastAsia="Arial" w:hAnsi="Arial"/>
          <w:sz w:val="16"/>
          <w:szCs w:val="16"/>
          <w:color w:val="auto"/>
        </w:rPr>
        <w:t>Due to the zero credit loss assumption on the securities HTM portfolio, there was no ACL recorded for securities HTM as of March 31, 2026 and December 31, 2025.</w:t>
      </w:r>
    </w:p>
    <w:p>
      <w:pPr>
        <w:spacing w:after="0" w:line="47"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Accrued interest receivable totaled $3.1 million and $3.2 million as of March 31, 2026 and December 31, 2025, respectively, for securities AFS and securities HTM and was reported in accrued interest receivable on the consolidated balance sheets.</w:t>
      </w:r>
    </w:p>
    <w:p>
      <w:pPr>
        <w:spacing w:after="0" w:line="47"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Information pertaining to securities AFS with gross unrealized losses as of March 31, 2026 and December 31, 2025, aggregated by investment category and length of time that individual securities have been in a continuous loss position, is described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6"/>
                <w:szCs w:val="16"/>
                <w:b w:val="1"/>
                <w:bCs w:val="1"/>
                <w:color w:val="auto"/>
              </w:rPr>
              <w:t>March 31, 2026</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Less than twelve months</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Twelve months or more</w:t>
            </w:r>
          </w:p>
        </w:tc>
        <w:tc>
          <w:tcPr>
            <w:tcW w:w="0" w:type="dxa"/>
            <w:vAlign w:val="bottom"/>
          </w:tcPr>
          <w:p>
            <w:pPr>
              <w:spacing w:after="0"/>
              <w:rPr>
                <w:sz w:val="1"/>
                <w:szCs w:val="1"/>
                <w:color w:val="auto"/>
              </w:rPr>
            </w:pPr>
          </w:p>
        </w:tc>
      </w:tr>
      <w:tr>
        <w:trPr>
          <w:trHeight w:val="155"/>
        </w:trPr>
        <w:tc>
          <w:tcPr>
            <w:tcW w:w="5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99"/>
              </w:rPr>
              <w:t>Gross</w:t>
            </w:r>
          </w:p>
        </w:tc>
        <w:tc>
          <w:tcPr>
            <w:tcW w:w="280" w:type="dxa"/>
            <w:vAlign w:val="bottom"/>
          </w:tcPr>
          <w:p>
            <w:pPr>
              <w:spacing w:after="0"/>
              <w:rPr>
                <w:sz w:val="13"/>
                <w:szCs w:val="13"/>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6"/>
                <w:szCs w:val="16"/>
                <w:b w:val="1"/>
                <w:bCs w:val="1"/>
                <w:color w:val="auto"/>
              </w:rPr>
              <w:t>Fair</w:t>
            </w:r>
          </w:p>
        </w:tc>
        <w:tc>
          <w:tcPr>
            <w:tcW w:w="180" w:type="dxa"/>
            <w:vAlign w:val="bottom"/>
          </w:tcPr>
          <w:p>
            <w:pPr>
              <w:spacing w:after="0"/>
              <w:rPr>
                <w:sz w:val="13"/>
                <w:szCs w:val="13"/>
                <w:color w:val="auto"/>
              </w:rPr>
            </w:pPr>
          </w:p>
        </w:tc>
        <w:tc>
          <w:tcPr>
            <w:tcW w:w="122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99"/>
              </w:rPr>
              <w:t>Gross</w:t>
            </w:r>
          </w:p>
        </w:tc>
        <w:tc>
          <w:tcPr>
            <w:tcW w:w="260" w:type="dxa"/>
            <w:vAlign w:val="bottom"/>
          </w:tcPr>
          <w:p>
            <w:pPr>
              <w:spacing w:after="0"/>
              <w:rPr>
                <w:sz w:val="13"/>
                <w:szCs w:val="13"/>
                <w:color w:val="auto"/>
              </w:rPr>
            </w:pPr>
          </w:p>
        </w:tc>
        <w:tc>
          <w:tcPr>
            <w:tcW w:w="102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162"/>
        </w:trPr>
        <w:tc>
          <w:tcPr>
            <w:tcW w:w="57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Unrealized</w:t>
            </w:r>
          </w:p>
        </w:tc>
        <w:tc>
          <w:tcPr>
            <w:tcW w:w="2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Unrealized</w:t>
            </w:r>
          </w:p>
        </w:tc>
        <w:tc>
          <w:tcPr>
            <w:tcW w:w="2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7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Losses</w:t>
            </w:r>
          </w:p>
        </w:tc>
        <w:tc>
          <w:tcPr>
            <w:tcW w:w="28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8"/>
              </w:rPr>
              <w:t>Value</w:t>
            </w: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Losses</w:t>
            </w:r>
          </w:p>
        </w:tc>
        <w:tc>
          <w:tcPr>
            <w:tcW w:w="260" w:type="dxa"/>
            <w:vAlign w:val="bottom"/>
          </w:tcPr>
          <w:p>
            <w:pPr>
              <w:spacing w:after="0"/>
              <w:rPr>
                <w:sz w:val="18"/>
                <w:szCs w:val="18"/>
                <w:color w:val="auto"/>
              </w:rPr>
            </w:pPr>
          </w:p>
        </w:tc>
        <w:tc>
          <w:tcPr>
            <w:tcW w:w="1020" w:type="dxa"/>
            <w:vAlign w:val="bottom"/>
          </w:tcPr>
          <w:p>
            <w:pPr>
              <w:jc w:val="right"/>
              <w:ind w:right="33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196"/>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Securities AFS:</w:t>
            </w: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740" w:type="dxa"/>
            <w:vAlign w:val="bottom"/>
          </w:tcPr>
          <w:p>
            <w:pPr>
              <w:ind w:left="140"/>
              <w:spacing w:after="0"/>
              <w:rPr>
                <w:sz w:val="20"/>
                <w:szCs w:val="20"/>
                <w:color w:val="auto"/>
              </w:rPr>
            </w:pPr>
            <w:r>
              <w:rPr>
                <w:rFonts w:ascii="Arial" w:cs="Arial" w:eastAsia="Arial" w:hAnsi="Arial"/>
                <w:sz w:val="16"/>
                <w:szCs w:val="16"/>
                <w:color w:val="auto"/>
              </w:rPr>
              <w:t>Mortgage-backed securities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(822)</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117,013</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(17,920)</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160,260</w:t>
            </w:r>
          </w:p>
        </w:tc>
        <w:tc>
          <w:tcPr>
            <w:tcW w:w="0" w:type="dxa"/>
            <w:vAlign w:val="bottom"/>
          </w:tcPr>
          <w:p>
            <w:pPr>
              <w:spacing w:after="0"/>
              <w:rPr>
                <w:sz w:val="1"/>
                <w:szCs w:val="1"/>
                <w:color w:val="auto"/>
              </w:rPr>
            </w:pPr>
          </w:p>
        </w:tc>
      </w:tr>
      <w:tr>
        <w:trPr>
          <w:trHeight w:val="217"/>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Municipal bonds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(27,641)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156,184</w:t>
            </w:r>
          </w:p>
        </w:tc>
        <w:tc>
          <w:tcPr>
            <w:tcW w:w="0" w:type="dxa"/>
            <w:vAlign w:val="bottom"/>
          </w:tcPr>
          <w:p>
            <w:pPr>
              <w:spacing w:after="0"/>
              <w:rPr>
                <w:sz w:val="1"/>
                <w:szCs w:val="1"/>
                <w:color w:val="auto"/>
              </w:rPr>
            </w:pPr>
          </w:p>
        </w:tc>
      </w:tr>
      <w:tr>
        <w:trPr>
          <w:trHeight w:val="215"/>
        </w:trPr>
        <w:tc>
          <w:tcPr>
            <w:tcW w:w="5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U.S. agency securities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9,537</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34,968</w:t>
            </w:r>
          </w:p>
        </w:tc>
        <w:tc>
          <w:tcPr>
            <w:tcW w:w="0" w:type="dxa"/>
            <w:vAlign w:val="bottom"/>
          </w:tcPr>
          <w:p>
            <w:pPr>
              <w:spacing w:after="0"/>
              <w:rPr>
                <w:sz w:val="1"/>
                <w:szCs w:val="1"/>
                <w:color w:val="auto"/>
              </w:rPr>
            </w:pPr>
          </w:p>
        </w:tc>
      </w:tr>
      <w:tr>
        <w:trPr>
          <w:trHeight w:val="208"/>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Securities AFS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134,919</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(46,652)</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351,412</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6"/>
                <w:szCs w:val="16"/>
                <w:b w:val="1"/>
                <w:bCs w:val="1"/>
                <w:color w:val="auto"/>
              </w:rPr>
              <w:t>December 31, 2025</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Less than twelve months</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Twelve months or more</w:t>
            </w:r>
          </w:p>
        </w:tc>
        <w:tc>
          <w:tcPr>
            <w:tcW w:w="0" w:type="dxa"/>
            <w:vAlign w:val="bottom"/>
          </w:tcPr>
          <w:p>
            <w:pPr>
              <w:spacing w:after="0"/>
              <w:rPr>
                <w:sz w:val="1"/>
                <w:szCs w:val="1"/>
                <w:color w:val="auto"/>
              </w:rPr>
            </w:pPr>
          </w:p>
        </w:tc>
      </w:tr>
      <w:tr>
        <w:trPr>
          <w:trHeight w:val="155"/>
        </w:trPr>
        <w:tc>
          <w:tcPr>
            <w:tcW w:w="5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99"/>
              </w:rPr>
              <w:t>Gross</w:t>
            </w:r>
          </w:p>
        </w:tc>
        <w:tc>
          <w:tcPr>
            <w:tcW w:w="280" w:type="dxa"/>
            <w:vAlign w:val="bottom"/>
          </w:tcPr>
          <w:p>
            <w:pPr>
              <w:spacing w:after="0"/>
              <w:rPr>
                <w:sz w:val="13"/>
                <w:szCs w:val="13"/>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6"/>
                <w:szCs w:val="16"/>
                <w:b w:val="1"/>
                <w:bCs w:val="1"/>
                <w:color w:val="auto"/>
              </w:rPr>
              <w:t>Fair</w:t>
            </w:r>
          </w:p>
        </w:tc>
        <w:tc>
          <w:tcPr>
            <w:tcW w:w="180" w:type="dxa"/>
            <w:vAlign w:val="bottom"/>
          </w:tcPr>
          <w:p>
            <w:pPr>
              <w:spacing w:after="0"/>
              <w:rPr>
                <w:sz w:val="13"/>
                <w:szCs w:val="13"/>
                <w:color w:val="auto"/>
              </w:rPr>
            </w:pPr>
          </w:p>
        </w:tc>
        <w:tc>
          <w:tcPr>
            <w:tcW w:w="122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99"/>
              </w:rPr>
              <w:t>Gross</w:t>
            </w:r>
          </w:p>
        </w:tc>
        <w:tc>
          <w:tcPr>
            <w:tcW w:w="260" w:type="dxa"/>
            <w:vAlign w:val="bottom"/>
          </w:tcPr>
          <w:p>
            <w:pPr>
              <w:spacing w:after="0"/>
              <w:rPr>
                <w:sz w:val="13"/>
                <w:szCs w:val="13"/>
                <w:color w:val="auto"/>
              </w:rPr>
            </w:pPr>
          </w:p>
        </w:tc>
        <w:tc>
          <w:tcPr>
            <w:tcW w:w="102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162"/>
        </w:trPr>
        <w:tc>
          <w:tcPr>
            <w:tcW w:w="57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Unrealized</w:t>
            </w:r>
          </w:p>
        </w:tc>
        <w:tc>
          <w:tcPr>
            <w:tcW w:w="2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Unrealized</w:t>
            </w:r>
          </w:p>
        </w:tc>
        <w:tc>
          <w:tcPr>
            <w:tcW w:w="2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7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Losses</w:t>
            </w:r>
          </w:p>
        </w:tc>
        <w:tc>
          <w:tcPr>
            <w:tcW w:w="28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8"/>
              </w:rPr>
              <w:t>Value</w:t>
            </w: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Losses</w:t>
            </w:r>
          </w:p>
        </w:tc>
        <w:tc>
          <w:tcPr>
            <w:tcW w:w="260" w:type="dxa"/>
            <w:vAlign w:val="bottom"/>
          </w:tcPr>
          <w:p>
            <w:pPr>
              <w:spacing w:after="0"/>
              <w:rPr>
                <w:sz w:val="18"/>
                <w:szCs w:val="18"/>
                <w:color w:val="auto"/>
              </w:rPr>
            </w:pPr>
          </w:p>
        </w:tc>
        <w:tc>
          <w:tcPr>
            <w:tcW w:w="1020" w:type="dxa"/>
            <w:vAlign w:val="bottom"/>
          </w:tcPr>
          <w:p>
            <w:pPr>
              <w:jc w:val="right"/>
              <w:ind w:right="33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196"/>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Securities AFS:</w:t>
            </w: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740" w:type="dxa"/>
            <w:vAlign w:val="bottom"/>
          </w:tcPr>
          <w:p>
            <w:pPr>
              <w:ind w:left="140"/>
              <w:spacing w:after="0"/>
              <w:rPr>
                <w:sz w:val="20"/>
                <w:szCs w:val="20"/>
                <w:color w:val="auto"/>
              </w:rPr>
            </w:pPr>
            <w:r>
              <w:rPr>
                <w:rFonts w:ascii="Arial" w:cs="Arial" w:eastAsia="Arial" w:hAnsi="Arial"/>
                <w:sz w:val="16"/>
                <w:szCs w:val="16"/>
                <w:color w:val="auto"/>
              </w:rPr>
              <w:t>Mortgage-backed securities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81,682</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(18,236)</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166,631</w:t>
            </w:r>
          </w:p>
        </w:tc>
        <w:tc>
          <w:tcPr>
            <w:tcW w:w="0" w:type="dxa"/>
            <w:vAlign w:val="bottom"/>
          </w:tcPr>
          <w:p>
            <w:pPr>
              <w:spacing w:after="0"/>
              <w:rPr>
                <w:sz w:val="1"/>
                <w:szCs w:val="1"/>
                <w:color w:val="auto"/>
              </w:rPr>
            </w:pPr>
          </w:p>
        </w:tc>
      </w:tr>
      <w:tr>
        <w:trPr>
          <w:trHeight w:val="217"/>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Municipal bonds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(25,297)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163,876</w:t>
            </w:r>
          </w:p>
        </w:tc>
        <w:tc>
          <w:tcPr>
            <w:tcW w:w="0" w:type="dxa"/>
            <w:vAlign w:val="bottom"/>
          </w:tcPr>
          <w:p>
            <w:pPr>
              <w:spacing w:after="0"/>
              <w:rPr>
                <w:sz w:val="1"/>
                <w:szCs w:val="1"/>
                <w:color w:val="auto"/>
              </w:rPr>
            </w:pPr>
          </w:p>
        </w:tc>
      </w:tr>
      <w:tr>
        <w:trPr>
          <w:trHeight w:val="215"/>
        </w:trPr>
        <w:tc>
          <w:tcPr>
            <w:tcW w:w="5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U.S. agency securities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16,972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36,542</w:t>
            </w:r>
          </w:p>
        </w:tc>
        <w:tc>
          <w:tcPr>
            <w:tcW w:w="0" w:type="dxa"/>
            <w:vAlign w:val="bottom"/>
          </w:tcPr>
          <w:p>
            <w:pPr>
              <w:spacing w:after="0"/>
              <w:rPr>
                <w:sz w:val="1"/>
                <w:szCs w:val="1"/>
                <w:color w:val="auto"/>
              </w:rPr>
            </w:pPr>
          </w:p>
        </w:tc>
      </w:tr>
      <w:tr>
        <w:trPr>
          <w:trHeight w:val="235"/>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Securities AFS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101,984</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(44,701)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367,049</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As of March 31, 2026, the Company held 472 securities AFS that were in unrealized loss positions. The aggregate unrealized loss of these securities AFS as of March 31, 2026, was 6.95% of the amortized cost basis of securities AFS.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2026 and 2025, there were no proceeds from sales of debt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Equity Securities</w:t>
      </w:r>
    </w:p>
    <w:p>
      <w:pPr>
        <w:spacing w:after="0" w:line="125"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Equity securities are an investment in a CRA mutual fund, consisting primarily of bonds. Equity securities are carried at fair value on the consolidated balance sheets with periodic changes in value recorded through the consolidated statements of income. As of March 31, 2026, equity securities had a fair value of $3.0 million with a recognized loss of $19,000 for the three months ended March 31, 2026. As of December 31, 2025, equity securities had a fair value of $3.0 million with a recognized gain of $94,000 for the year ended December 31, 2025.</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Pledged Securities</w:t>
      </w:r>
    </w:p>
    <w:p>
      <w:pPr>
        <w:spacing w:after="0" w:line="138"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Securities with carrying values of approximately $216.5 million and $228.0 million were used as collateral as of March 31, 2026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40" w:type="dxa"/>
            <w:vAlign w:val="bottom"/>
            <w:gridSpan w:val="2"/>
          </w:tcPr>
          <w:p>
            <w:pPr>
              <w:spacing w:after="0"/>
              <w:rPr>
                <w:sz w:val="20"/>
                <w:szCs w:val="20"/>
                <w:color w:val="auto"/>
              </w:rPr>
            </w:pPr>
            <w:r>
              <w:rPr>
                <w:rFonts w:ascii="Arial" w:cs="Arial" w:eastAsia="Arial" w:hAnsi="Arial"/>
                <w:sz w:val="16"/>
                <w:szCs w:val="16"/>
                <w:b w:val="1"/>
                <w:bCs w:val="1"/>
                <w:color w:val="auto"/>
              </w:rPr>
              <w:t>3.  Loans and Asset Quality</w:t>
            </w:r>
          </w:p>
        </w:tc>
        <w:tc>
          <w:tcPr>
            <w:tcW w:w="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78"/>
        </w:trPr>
        <w:tc>
          <w:tcPr>
            <w:tcW w:w="6940" w:type="dxa"/>
            <w:vAlign w:val="bottom"/>
            <w:gridSpan w:val="2"/>
          </w:tcPr>
          <w:p>
            <w:pPr>
              <w:spacing w:after="0"/>
              <w:rPr>
                <w:sz w:val="20"/>
                <w:szCs w:val="20"/>
                <w:color w:val="auto"/>
              </w:rPr>
            </w:pPr>
            <w:r>
              <w:rPr>
                <w:rFonts w:ascii="Arial" w:cs="Arial" w:eastAsia="Arial" w:hAnsi="Arial"/>
                <w:sz w:val="16"/>
                <w:szCs w:val="16"/>
                <w:i w:val="1"/>
                <w:iCs w:val="1"/>
                <w:color w:val="auto"/>
              </w:rPr>
              <w:t>Loans</w:t>
            </w: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42"/>
        </w:trPr>
        <w:tc>
          <w:tcPr>
            <w:tcW w:w="6940" w:type="dxa"/>
            <w:vAlign w:val="bottom"/>
            <w:gridSpan w:val="2"/>
          </w:tcPr>
          <w:p>
            <w:pPr>
              <w:spacing w:after="0"/>
              <w:rPr>
                <w:sz w:val="20"/>
                <w:szCs w:val="20"/>
                <w:color w:val="auto"/>
              </w:rPr>
            </w:pPr>
            <w:r>
              <w:rPr>
                <w:rFonts w:ascii="Arial" w:cs="Arial" w:eastAsia="Arial" w:hAnsi="Arial"/>
                <w:sz w:val="16"/>
                <w:szCs w:val="16"/>
                <w:color w:val="auto"/>
              </w:rPr>
              <w:t>Loans HFI by category and loans HFS are summarized below:</w:t>
            </w: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86"/>
        </w:trPr>
        <w:tc>
          <w:tcPr>
            <w:tcW w:w="69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24"/>
                <w:szCs w:val="24"/>
                <w:color w:val="auto"/>
              </w:rPr>
            </w:pPr>
          </w:p>
        </w:tc>
        <w:tc>
          <w:tcPr>
            <w:tcW w:w="19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2026</w:t>
            </w:r>
          </w:p>
        </w:tc>
        <w:tc>
          <w:tcPr>
            <w:tcW w:w="220" w:type="dxa"/>
            <w:vAlign w:val="bottom"/>
          </w:tcPr>
          <w:p>
            <w:pPr>
              <w:spacing w:after="0"/>
              <w:rPr>
                <w:sz w:val="24"/>
                <w:szCs w:val="24"/>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2025</w:t>
            </w:r>
          </w:p>
        </w:tc>
      </w:tr>
      <w:tr>
        <w:trPr>
          <w:trHeight w:val="196"/>
        </w:trPr>
        <w:tc>
          <w:tcPr>
            <w:tcW w:w="69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Real estate:</w:t>
            </w:r>
          </w:p>
        </w:tc>
        <w:tc>
          <w:tcPr>
            <w:tcW w:w="30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r>
      <w:tr>
        <w:trPr>
          <w:trHeight w:val="215"/>
        </w:trPr>
        <w:tc>
          <w:tcPr>
            <w:tcW w:w="6940" w:type="dxa"/>
            <w:vAlign w:val="bottom"/>
            <w:gridSpan w:val="2"/>
          </w:tcPr>
          <w:p>
            <w:pPr>
              <w:ind w:left="220"/>
              <w:spacing w:after="0"/>
              <w:rPr>
                <w:sz w:val="20"/>
                <w:szCs w:val="20"/>
                <w:color w:val="auto"/>
              </w:rPr>
            </w:pPr>
            <w:r>
              <w:rPr>
                <w:rFonts w:ascii="Arial" w:cs="Arial" w:eastAsia="Arial" w:hAnsi="Arial"/>
                <w:sz w:val="16"/>
                <w:szCs w:val="16"/>
                <w:color w:val="auto"/>
              </w:rPr>
              <w:t>Commercial real estate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910,965</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920,294</w:t>
            </w:r>
          </w:p>
        </w:tc>
      </w:tr>
      <w:tr>
        <w:trPr>
          <w:trHeight w:val="217"/>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One-to-four family residential</w:t>
            </w:r>
          </w:p>
        </w:tc>
        <w:tc>
          <w:tcPr>
            <w:tcW w:w="3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632,554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628,762</w:t>
            </w:r>
          </w:p>
        </w:tc>
      </w:tr>
      <w:tr>
        <w:trPr>
          <w:trHeight w:val="215"/>
        </w:trPr>
        <w:tc>
          <w:tcPr>
            <w:tcW w:w="6940" w:type="dxa"/>
            <w:vAlign w:val="bottom"/>
            <w:gridSpan w:val="2"/>
          </w:tcPr>
          <w:p>
            <w:pPr>
              <w:ind w:left="220"/>
              <w:spacing w:after="0"/>
              <w:rPr>
                <w:sz w:val="20"/>
                <w:szCs w:val="20"/>
                <w:color w:val="auto"/>
              </w:rPr>
            </w:pPr>
            <w:r>
              <w:rPr>
                <w:rFonts w:ascii="Arial" w:cs="Arial" w:eastAsia="Arial" w:hAnsi="Arial"/>
                <w:sz w:val="16"/>
                <w:szCs w:val="16"/>
                <w:color w:val="auto"/>
              </w:rPr>
              <w:t>Construction and development</w:t>
            </w:r>
          </w:p>
        </w:tc>
        <w:tc>
          <w:tcPr>
            <w:tcW w:w="3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240,686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221,214</w:t>
            </w:r>
          </w:p>
        </w:tc>
      </w:tr>
      <w:tr>
        <w:trPr>
          <w:trHeight w:val="217"/>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and industrial</w:t>
            </w:r>
          </w:p>
        </w:tc>
        <w:tc>
          <w:tcPr>
            <w:tcW w:w="3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391,611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392,824</w:t>
            </w:r>
          </w:p>
        </w:tc>
      </w:tr>
      <w:tr>
        <w:trPr>
          <w:trHeight w:val="215"/>
        </w:trPr>
        <w:tc>
          <w:tcPr>
            <w:tcW w:w="6940" w:type="dxa"/>
            <w:vAlign w:val="bottom"/>
            <w:gridSpan w:val="2"/>
          </w:tcPr>
          <w:p>
            <w:pPr>
              <w:ind w:left="20"/>
              <w:spacing w:after="0"/>
              <w:rPr>
                <w:sz w:val="20"/>
                <w:szCs w:val="20"/>
                <w:color w:val="auto"/>
              </w:rPr>
            </w:pPr>
            <w:r>
              <w:rPr>
                <w:rFonts w:ascii="Arial" w:cs="Arial" w:eastAsia="Arial" w:hAnsi="Arial"/>
                <w:sz w:val="16"/>
                <w:szCs w:val="16"/>
                <w:color w:val="auto"/>
              </w:rPr>
              <w:t>Tax-exempt</w:t>
            </w:r>
          </w:p>
        </w:tc>
        <w:tc>
          <w:tcPr>
            <w:tcW w:w="3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52,779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57,541</w:t>
            </w:r>
          </w:p>
        </w:tc>
      </w:tr>
      <w:tr>
        <w:trPr>
          <w:trHeight w:val="216"/>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3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25,951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28,034</w:t>
            </w:r>
          </w:p>
        </w:tc>
      </w:tr>
      <w:tr>
        <w:trPr>
          <w:trHeight w:val="210"/>
        </w:trPr>
        <w:tc>
          <w:tcPr>
            <w:tcW w:w="6940" w:type="dxa"/>
            <w:vAlign w:val="bottom"/>
            <w:gridSpan w:val="2"/>
          </w:tcPr>
          <w:p>
            <w:pPr>
              <w:ind w:left="220"/>
              <w:spacing w:after="0"/>
              <w:rPr>
                <w:sz w:val="20"/>
                <w:szCs w:val="20"/>
                <w:color w:val="auto"/>
              </w:rPr>
            </w:pPr>
            <w:r>
              <w:rPr>
                <w:rFonts w:ascii="Arial" w:cs="Arial" w:eastAsia="Arial" w:hAnsi="Arial"/>
                <w:sz w:val="16"/>
                <w:szCs w:val="16"/>
                <w:color w:val="auto"/>
              </w:rPr>
              <w:t>Total loans HFI</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2,254,546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2,248,669</w:t>
            </w:r>
          </w:p>
        </w:tc>
      </w:tr>
      <w:tr>
        <w:trPr>
          <w:trHeight w:val="20"/>
        </w:trPr>
        <w:tc>
          <w:tcPr>
            <w:tcW w:w="440" w:type="dxa"/>
            <w:vAlign w:val="bottom"/>
            <w:tcBorders>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35"/>
        </w:trPr>
        <w:tc>
          <w:tcPr>
            <w:tcW w:w="69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loans HFS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3,148</w:t>
            </w:r>
          </w:p>
        </w:tc>
      </w:tr>
      <w:tr>
        <w:trPr>
          <w:trHeight w:val="20"/>
        </w:trPr>
        <w:tc>
          <w:tcPr>
            <w:tcW w:w="44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Accrued interest receivable on loans HFI totaled $8.1 million and $7.8 million as of March 31, 2026 and December 31, 2025, respectively, and was reported in accrued interest receivable on the accompanying consolidated balance sheets.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Allowance for Credit Losses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The Company maintains an ACL on all loans that reflects management’s estimate of expected credit losses for the full life of the loan portfolio.</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in the ACL by category for the three months ended March 31, 2026:</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Beginning</w:t>
            </w: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7"/>
              </w:rPr>
              <w:t>Balance</w:t>
            </w:r>
          </w:p>
        </w:tc>
        <w:tc>
          <w:tcPr>
            <w:tcW w:w="120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Provision for</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9"/>
              </w:rPr>
              <w:t>Ending Balance</w:t>
            </w:r>
          </w:p>
        </w:tc>
        <w:tc>
          <w:tcPr>
            <w:tcW w:w="0" w:type="dxa"/>
            <w:vAlign w:val="bottom"/>
          </w:tcPr>
          <w:p>
            <w:pPr>
              <w:spacing w:after="0"/>
              <w:rPr>
                <w:sz w:val="1"/>
                <w:szCs w:val="1"/>
                <w:color w:val="auto"/>
              </w:rPr>
            </w:pPr>
          </w:p>
        </w:tc>
      </w:tr>
      <w:tr>
        <w:trPr>
          <w:trHeight w:val="162"/>
        </w:trPr>
        <w:tc>
          <w:tcPr>
            <w:tcW w:w="42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9"/>
              </w:rPr>
              <w:t>December 31,</w:t>
            </w:r>
          </w:p>
        </w:tc>
        <w:tc>
          <w:tcPr>
            <w:tcW w:w="12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Charge-offs</w:t>
            </w:r>
          </w:p>
        </w:tc>
        <w:tc>
          <w:tcPr>
            <w:tcW w:w="16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Recoveries</w:t>
            </w:r>
          </w:p>
        </w:tc>
        <w:tc>
          <w:tcPr>
            <w:tcW w:w="14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2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60"/>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7"/>
                <w:szCs w:val="17"/>
                <w:color w:val="auto"/>
              </w:rPr>
            </w:pPr>
          </w:p>
        </w:tc>
        <w:tc>
          <w:tcPr>
            <w:tcW w:w="1200" w:type="dxa"/>
            <w:vAlign w:val="bottom"/>
            <w:gridSpan w:val="3"/>
          </w:tcPr>
          <w:p>
            <w:pPr>
              <w:ind w:left="20"/>
              <w:spacing w:after="0"/>
              <w:rPr>
                <w:sz w:val="20"/>
                <w:szCs w:val="20"/>
                <w:color w:val="auto"/>
              </w:rPr>
            </w:pPr>
            <w:r>
              <w:rPr>
                <w:rFonts w:ascii="Arial" w:cs="Arial" w:eastAsia="Arial" w:hAnsi="Arial"/>
                <w:sz w:val="16"/>
                <w:szCs w:val="16"/>
                <w:b w:val="1"/>
                <w:bCs w:val="1"/>
                <w:color w:val="auto"/>
              </w:rPr>
              <w:t>Credit Losses</w:t>
            </w:r>
          </w:p>
        </w:tc>
        <w:tc>
          <w:tcPr>
            <w:tcW w:w="1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31, 2026</w:t>
            </w: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Real estate:</w:t>
            </w: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220"/>
              <w:spacing w:after="0"/>
              <w:rPr>
                <w:sz w:val="20"/>
                <w:szCs w:val="20"/>
                <w:color w:val="auto"/>
              </w:rPr>
            </w:pPr>
            <w:r>
              <w:rPr>
                <w:rFonts w:ascii="Arial" w:cs="Arial" w:eastAsia="Arial" w:hAnsi="Arial"/>
                <w:sz w:val="16"/>
                <w:szCs w:val="16"/>
                <w:color w:val="auto"/>
              </w:rPr>
              <w:t>Commercial real estate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9,359</w:t>
            </w:r>
          </w:p>
        </w:tc>
        <w:tc>
          <w:tcPr>
            <w:tcW w:w="12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9,601</w:t>
            </w: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One-to-four family residential</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7,077</w:t>
            </w:r>
          </w:p>
        </w:tc>
        <w:tc>
          <w:tcPr>
            <w:tcW w:w="0" w:type="dxa"/>
            <w:vAlign w:val="bottom"/>
          </w:tcPr>
          <w:p>
            <w:pPr>
              <w:spacing w:after="0"/>
              <w:rPr>
                <w:sz w:val="1"/>
                <w:szCs w:val="1"/>
                <w:color w:val="auto"/>
              </w:rPr>
            </w:pPr>
          </w:p>
        </w:tc>
      </w:tr>
      <w:tr>
        <w:trPr>
          <w:trHeight w:val="215"/>
        </w:trPr>
        <w:tc>
          <w:tcPr>
            <w:tcW w:w="4200" w:type="dxa"/>
            <w:vAlign w:val="bottom"/>
          </w:tcPr>
          <w:p>
            <w:pPr>
              <w:ind w:left="220"/>
              <w:spacing w:after="0"/>
              <w:rPr>
                <w:sz w:val="20"/>
                <w:szCs w:val="20"/>
                <w:color w:val="auto"/>
              </w:rPr>
            </w:pPr>
            <w:r>
              <w:rPr>
                <w:rFonts w:ascii="Arial" w:cs="Arial" w:eastAsia="Arial" w:hAnsi="Arial"/>
                <w:sz w:val="16"/>
                <w:szCs w:val="16"/>
                <w:color w:val="auto"/>
              </w:rPr>
              <w:t>Construction and development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1,751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1,966</w:t>
            </w: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and industrial</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4,991</w:t>
            </w: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Tax-exempt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10"/>
        </w:trPr>
        <w:tc>
          <w:tcPr>
            <w:tcW w:w="4200" w:type="dxa"/>
            <w:vAlign w:val="bottom"/>
          </w:tcPr>
          <w:p>
            <w:pPr>
              <w:ind w:left="260"/>
              <w:spacing w:after="0"/>
              <w:rPr>
                <w:sz w:val="20"/>
                <w:szCs w:val="20"/>
                <w:color w:val="auto"/>
              </w:rPr>
            </w:pPr>
            <w:r>
              <w:rPr>
                <w:rFonts w:ascii="Arial" w:cs="Arial" w:eastAsia="Arial" w:hAnsi="Arial"/>
                <w:sz w:val="16"/>
                <w:szCs w:val="16"/>
                <w:color w:val="auto"/>
              </w:rPr>
              <w:t>Total allowance for credit losses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23,399</w:t>
            </w:r>
          </w:p>
        </w:tc>
        <w:tc>
          <w:tcPr>
            <w:tcW w:w="12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24,051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in the ACL by category for the three months ended March 31, 2025: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Beginning</w:t>
            </w: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Balance</w:t>
            </w:r>
          </w:p>
        </w:tc>
        <w:tc>
          <w:tcPr>
            <w:tcW w:w="12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Provision for</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5"/>
                <w:szCs w:val="15"/>
                <w:color w:val="auto"/>
              </w:rPr>
            </w:pPr>
          </w:p>
        </w:tc>
        <w:tc>
          <w:tcPr>
            <w:tcW w:w="1400" w:type="dxa"/>
            <w:vAlign w:val="bottom"/>
            <w:gridSpan w:val="2"/>
          </w:tcPr>
          <w:p>
            <w:pPr>
              <w:jc w:val="center"/>
              <w:ind w:right="260"/>
              <w:spacing w:after="0" w:line="175" w:lineRule="exact"/>
              <w:rPr>
                <w:sz w:val="20"/>
                <w:szCs w:val="20"/>
                <w:color w:val="auto"/>
              </w:rPr>
            </w:pPr>
            <w:r>
              <w:rPr>
                <w:rFonts w:ascii="Arial" w:cs="Arial" w:eastAsia="Arial" w:hAnsi="Arial"/>
                <w:sz w:val="16"/>
                <w:szCs w:val="16"/>
                <w:b w:val="1"/>
                <w:bCs w:val="1"/>
                <w:color w:val="auto"/>
              </w:rPr>
              <w:t>December 31,</w:t>
            </w:r>
          </w:p>
        </w:tc>
        <w:tc>
          <w:tcPr>
            <w:tcW w:w="12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Charge-offs</w:t>
            </w:r>
          </w:p>
        </w:tc>
        <w:tc>
          <w:tcPr>
            <w:tcW w:w="140" w:type="dxa"/>
            <w:vAlign w:val="bottom"/>
          </w:tcPr>
          <w:p>
            <w:pPr>
              <w:spacing w:after="0"/>
              <w:rPr>
                <w:sz w:val="15"/>
                <w:szCs w:val="15"/>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Recoveries</w:t>
            </w:r>
          </w:p>
        </w:tc>
        <w:tc>
          <w:tcPr>
            <w:tcW w:w="140" w:type="dxa"/>
            <w:vAlign w:val="bottom"/>
          </w:tcPr>
          <w:p>
            <w:pPr>
              <w:spacing w:after="0"/>
              <w:rPr>
                <w:sz w:val="15"/>
                <w:szCs w:val="15"/>
                <w:color w:val="auto"/>
              </w:rPr>
            </w:pPr>
          </w:p>
        </w:tc>
        <w:tc>
          <w:tcPr>
            <w:tcW w:w="1380" w:type="dxa"/>
            <w:vAlign w:val="bottom"/>
          </w:tcPr>
          <w:p>
            <w:pPr>
              <w:jc w:val="right"/>
              <w:ind w:right="79"/>
              <w:spacing w:after="0" w:line="175" w:lineRule="exact"/>
              <w:rPr>
                <w:sz w:val="20"/>
                <w:szCs w:val="20"/>
                <w:color w:val="auto"/>
              </w:rPr>
            </w:pPr>
            <w:r>
              <w:rPr>
                <w:rFonts w:ascii="Arial" w:cs="Arial" w:eastAsia="Arial" w:hAnsi="Arial"/>
                <w:sz w:val="16"/>
                <w:szCs w:val="16"/>
                <w:b w:val="1"/>
                <w:bCs w:val="1"/>
                <w:color w:val="auto"/>
                <w:w w:val="99"/>
              </w:rPr>
              <w:t>Ending Balance</w:t>
            </w:r>
          </w:p>
        </w:tc>
        <w:tc>
          <w:tcPr>
            <w:tcW w:w="0" w:type="dxa"/>
            <w:vAlign w:val="bottom"/>
          </w:tcPr>
          <w:p>
            <w:pPr>
              <w:spacing w:after="0"/>
              <w:rPr>
                <w:sz w:val="1"/>
                <w:szCs w:val="1"/>
                <w:color w:val="auto"/>
              </w:rPr>
            </w:pPr>
          </w:p>
        </w:tc>
      </w:tr>
      <w:tr>
        <w:trPr>
          <w:trHeight w:val="203"/>
        </w:trPr>
        <w:tc>
          <w:tcPr>
            <w:tcW w:w="41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7"/>
                <w:szCs w:val="17"/>
                <w:color w:val="auto"/>
              </w:rPr>
            </w:pP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rPr>
              <w:t>Credit Losses</w:t>
            </w:r>
          </w:p>
        </w:tc>
        <w:tc>
          <w:tcPr>
            <w:tcW w:w="14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31, 2025</w:t>
            </w:r>
          </w:p>
        </w:tc>
        <w:tc>
          <w:tcPr>
            <w:tcW w:w="0" w:type="dxa"/>
            <w:vAlign w:val="bottom"/>
          </w:tcPr>
          <w:p>
            <w:pPr>
              <w:spacing w:after="0"/>
              <w:rPr>
                <w:sz w:val="1"/>
                <w:szCs w:val="1"/>
                <w:color w:val="auto"/>
              </w:rPr>
            </w:pPr>
          </w:p>
        </w:tc>
      </w:tr>
      <w:tr>
        <w:trPr>
          <w:trHeight w:val="196"/>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Real estate:</w:t>
            </w: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60" w:type="dxa"/>
            <w:vAlign w:val="bottom"/>
          </w:tcPr>
          <w:p>
            <w:pPr>
              <w:ind w:left="180"/>
              <w:spacing w:after="0"/>
              <w:rPr>
                <w:sz w:val="20"/>
                <w:szCs w:val="20"/>
                <w:color w:val="auto"/>
              </w:rPr>
            </w:pPr>
            <w:r>
              <w:rPr>
                <w:rFonts w:ascii="Arial" w:cs="Arial" w:eastAsia="Arial" w:hAnsi="Arial"/>
                <w:sz w:val="16"/>
                <w:szCs w:val="16"/>
                <w:color w:val="auto"/>
              </w:rPr>
              <w:t>Commercial real estate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9,047</w:t>
            </w:r>
          </w:p>
        </w:tc>
        <w:tc>
          <w:tcPr>
            <w:tcW w:w="10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9,159</w:t>
            </w:r>
          </w:p>
        </w:tc>
        <w:tc>
          <w:tcPr>
            <w:tcW w:w="0" w:type="dxa"/>
            <w:vAlign w:val="bottom"/>
          </w:tcPr>
          <w:p>
            <w:pPr>
              <w:spacing w:after="0"/>
              <w:rPr>
                <w:sz w:val="1"/>
                <w:szCs w:val="1"/>
                <w:color w:val="auto"/>
              </w:rPr>
            </w:pPr>
          </w:p>
        </w:tc>
      </w:tr>
      <w:tr>
        <w:trPr>
          <w:trHeight w:val="217"/>
        </w:trPr>
        <w:tc>
          <w:tcPr>
            <w:tcW w:w="4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One-to-four family residential</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6,455</w:t>
            </w:r>
          </w:p>
        </w:tc>
        <w:tc>
          <w:tcPr>
            <w:tcW w:w="0" w:type="dxa"/>
            <w:vAlign w:val="bottom"/>
          </w:tcPr>
          <w:p>
            <w:pPr>
              <w:spacing w:after="0"/>
              <w:rPr>
                <w:sz w:val="1"/>
                <w:szCs w:val="1"/>
                <w:color w:val="auto"/>
              </w:rPr>
            </w:pPr>
          </w:p>
        </w:tc>
      </w:tr>
      <w:tr>
        <w:trPr>
          <w:trHeight w:val="215"/>
        </w:trPr>
        <w:tc>
          <w:tcPr>
            <w:tcW w:w="4160" w:type="dxa"/>
            <w:vAlign w:val="bottom"/>
          </w:tcPr>
          <w:p>
            <w:pPr>
              <w:ind w:left="180"/>
              <w:spacing w:after="0"/>
              <w:rPr>
                <w:sz w:val="20"/>
                <w:szCs w:val="20"/>
                <w:color w:val="auto"/>
              </w:rPr>
            </w:pPr>
            <w:r>
              <w:rPr>
                <w:rFonts w:ascii="Arial" w:cs="Arial" w:eastAsia="Arial" w:hAnsi="Arial"/>
                <w:sz w:val="16"/>
                <w:szCs w:val="16"/>
                <w:color w:val="auto"/>
              </w:rPr>
              <w:t>Construction and development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1,653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1,605</w:t>
            </w:r>
          </w:p>
        </w:tc>
        <w:tc>
          <w:tcPr>
            <w:tcW w:w="0" w:type="dxa"/>
            <w:vAlign w:val="bottom"/>
          </w:tcPr>
          <w:p>
            <w:pPr>
              <w:spacing w:after="0"/>
              <w:rPr>
                <w:sz w:val="1"/>
                <w:szCs w:val="1"/>
                <w:color w:val="auto"/>
              </w:rPr>
            </w:pPr>
          </w:p>
        </w:tc>
      </w:tr>
      <w:tr>
        <w:trPr>
          <w:trHeight w:val="217"/>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and industrial</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4,208</w:t>
            </w:r>
          </w:p>
        </w:tc>
        <w:tc>
          <w:tcPr>
            <w:tcW w:w="0" w:type="dxa"/>
            <w:vAlign w:val="bottom"/>
          </w:tcPr>
          <w:p>
            <w:pPr>
              <w:spacing w:after="0"/>
              <w:rPr>
                <w:sz w:val="1"/>
                <w:szCs w:val="1"/>
                <w:color w:val="auto"/>
              </w:rPr>
            </w:pPr>
          </w:p>
        </w:tc>
      </w:tr>
      <w:tr>
        <w:trPr>
          <w:trHeight w:val="215"/>
        </w:trPr>
        <w:tc>
          <w:tcPr>
            <w:tcW w:w="4160" w:type="dxa"/>
            <w:vAlign w:val="bottom"/>
          </w:tcPr>
          <w:p>
            <w:pPr>
              <w:ind w:left="20"/>
              <w:spacing w:after="0"/>
              <w:rPr>
                <w:sz w:val="20"/>
                <w:szCs w:val="20"/>
                <w:color w:val="auto"/>
              </w:rPr>
            </w:pPr>
            <w:r>
              <w:rPr>
                <w:rFonts w:ascii="Arial" w:cs="Arial" w:eastAsia="Arial" w:hAnsi="Arial"/>
                <w:sz w:val="16"/>
                <w:szCs w:val="16"/>
                <w:color w:val="auto"/>
              </w:rPr>
              <w:t>Tax-exempt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10"/>
        </w:trPr>
        <w:tc>
          <w:tcPr>
            <w:tcW w:w="4160" w:type="dxa"/>
            <w:vAlign w:val="bottom"/>
          </w:tcPr>
          <w:p>
            <w:pPr>
              <w:ind w:left="180"/>
              <w:spacing w:after="0"/>
              <w:rPr>
                <w:sz w:val="20"/>
                <w:szCs w:val="20"/>
                <w:color w:val="auto"/>
              </w:rPr>
            </w:pPr>
            <w:r>
              <w:rPr>
                <w:rFonts w:ascii="Arial" w:cs="Arial" w:eastAsia="Arial" w:hAnsi="Arial"/>
                <w:sz w:val="16"/>
                <w:szCs w:val="16"/>
                <w:color w:val="auto"/>
              </w:rPr>
              <w:t>Total allowance for credit losses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21,731</w:t>
            </w:r>
          </w:p>
        </w:tc>
        <w:tc>
          <w:tcPr>
            <w:tcW w:w="100" w:type="dxa"/>
            <w:vAlign w:val="bottom"/>
          </w:tcPr>
          <w:p>
            <w:pPr>
              <w:spacing w:after="0"/>
              <w:rPr>
                <w:sz w:val="18"/>
                <w:szCs w:val="18"/>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21,835</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gridSpan w:val="2"/>
          </w:tcPr>
          <w:p>
            <w:pPr>
              <w:spacing w:after="0"/>
              <w:rPr>
                <w:sz w:val="20"/>
                <w:szCs w:val="20"/>
                <w:color w:val="auto"/>
              </w:rPr>
            </w:pPr>
            <w:r>
              <w:rPr>
                <w:rFonts w:ascii="Arial" w:cs="Arial" w:eastAsia="Arial" w:hAnsi="Arial"/>
                <w:sz w:val="16"/>
                <w:szCs w:val="16"/>
                <w:i w:val="1"/>
                <w:iCs w:val="1"/>
                <w:color w:val="auto"/>
              </w:rPr>
              <w:t>Nonaccrual and Past Due Loans</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4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6940" w:type="dxa"/>
            <w:vAlign w:val="bottom"/>
            <w:gridSpan w:val="2"/>
          </w:tcPr>
          <w:p>
            <w:pPr>
              <w:spacing w:after="0"/>
              <w:rPr>
                <w:sz w:val="20"/>
                <w:szCs w:val="20"/>
                <w:color w:val="auto"/>
              </w:rPr>
            </w:pPr>
            <w:r>
              <w:rPr>
                <w:rFonts w:ascii="Arial" w:cs="Arial" w:eastAsia="Arial" w:hAnsi="Arial"/>
                <w:sz w:val="16"/>
                <w:szCs w:val="16"/>
                <w:color w:val="auto"/>
              </w:rPr>
              <w:t>The following table presents nonaccrual loans as of March 31, 2026:</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694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Nonaccrual with</w:t>
            </w:r>
          </w:p>
        </w:tc>
        <w:tc>
          <w:tcPr>
            <w:tcW w:w="1420" w:type="dxa"/>
            <w:vAlign w:val="bottom"/>
            <w:gridSpan w:val="3"/>
          </w:tcPr>
          <w:p>
            <w:pPr>
              <w:ind w:left="20"/>
              <w:spacing w:after="0"/>
              <w:rPr>
                <w:sz w:val="20"/>
                <w:szCs w:val="20"/>
                <w:color w:val="auto"/>
              </w:rPr>
            </w:pPr>
            <w:r>
              <w:rPr>
                <w:rFonts w:ascii="Arial" w:cs="Arial" w:eastAsia="Arial" w:hAnsi="Arial"/>
                <w:sz w:val="16"/>
                <w:szCs w:val="16"/>
                <w:b w:val="1"/>
                <w:bCs w:val="1"/>
                <w:color w:val="auto"/>
              </w:rPr>
              <w:t>Nonaccrual with</w:t>
            </w:r>
          </w:p>
        </w:tc>
        <w:tc>
          <w:tcPr>
            <w:tcW w:w="160" w:type="dxa"/>
            <w:vAlign w:val="bottom"/>
          </w:tcPr>
          <w:p>
            <w:pPr>
              <w:spacing w:after="0"/>
              <w:rPr>
                <w:sz w:val="24"/>
                <w:szCs w:val="24"/>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16"/>
        </w:trPr>
        <w:tc>
          <w:tcPr>
            <w:tcW w:w="6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No ACL</w:t>
            </w:r>
          </w:p>
        </w:tc>
        <w:tc>
          <w:tcPr>
            <w:tcW w:w="30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ACL</w:t>
            </w:r>
          </w:p>
        </w:tc>
        <w:tc>
          <w:tcPr>
            <w:tcW w:w="160" w:type="dxa"/>
            <w:vAlign w:val="bottom"/>
          </w:tcPr>
          <w:p>
            <w:pPr>
              <w:spacing w:after="0"/>
              <w:rPr>
                <w:sz w:val="18"/>
                <w:szCs w:val="18"/>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rPr>
              <w:t>Nonaccrual</w:t>
            </w:r>
          </w:p>
        </w:tc>
        <w:tc>
          <w:tcPr>
            <w:tcW w:w="0" w:type="dxa"/>
            <w:vAlign w:val="bottom"/>
          </w:tcPr>
          <w:p>
            <w:pPr>
              <w:spacing w:after="0"/>
              <w:rPr>
                <w:sz w:val="1"/>
                <w:szCs w:val="1"/>
                <w:color w:val="auto"/>
              </w:rPr>
            </w:pPr>
          </w:p>
        </w:tc>
      </w:tr>
      <w:tr>
        <w:trPr>
          <w:trHeight w:val="196"/>
        </w:trPr>
        <w:tc>
          <w:tcPr>
            <w:tcW w:w="69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Real estate:</w:t>
            </w: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940" w:type="dxa"/>
            <w:vAlign w:val="bottom"/>
            <w:gridSpan w:val="2"/>
          </w:tcPr>
          <w:p>
            <w:pPr>
              <w:ind w:left="220"/>
              <w:spacing w:after="0"/>
              <w:rPr>
                <w:sz w:val="20"/>
                <w:szCs w:val="20"/>
                <w:color w:val="auto"/>
              </w:rPr>
            </w:pPr>
            <w:r>
              <w:rPr>
                <w:rFonts w:ascii="Arial" w:cs="Arial" w:eastAsia="Arial" w:hAnsi="Arial"/>
                <w:sz w:val="16"/>
                <w:szCs w:val="16"/>
                <w:color w:val="auto"/>
              </w:rPr>
              <w:t>Commercial real estate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837</w:t>
            </w:r>
          </w:p>
        </w:tc>
        <w:tc>
          <w:tcPr>
            <w:tcW w:w="1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837</w:t>
            </w:r>
          </w:p>
        </w:tc>
        <w:tc>
          <w:tcPr>
            <w:tcW w:w="0" w:type="dxa"/>
            <w:vAlign w:val="bottom"/>
          </w:tcPr>
          <w:p>
            <w:pPr>
              <w:spacing w:after="0"/>
              <w:rPr>
                <w:sz w:val="1"/>
                <w:szCs w:val="1"/>
                <w:color w:val="auto"/>
              </w:rPr>
            </w:pPr>
          </w:p>
        </w:tc>
      </w:tr>
      <w:tr>
        <w:trPr>
          <w:trHeight w:val="217"/>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One-to-four family residential</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w:t>
            </w:r>
          </w:p>
        </w:tc>
        <w:tc>
          <w:tcPr>
            <w:tcW w:w="0" w:type="dxa"/>
            <w:vAlign w:val="bottom"/>
          </w:tcPr>
          <w:p>
            <w:pPr>
              <w:spacing w:after="0"/>
              <w:rPr>
                <w:sz w:val="1"/>
                <w:szCs w:val="1"/>
                <w:color w:val="auto"/>
              </w:rPr>
            </w:pPr>
          </w:p>
        </w:tc>
      </w:tr>
      <w:tr>
        <w:trPr>
          <w:trHeight w:val="215"/>
        </w:trPr>
        <w:tc>
          <w:tcPr>
            <w:tcW w:w="6940" w:type="dxa"/>
            <w:vAlign w:val="bottom"/>
            <w:gridSpan w:val="2"/>
          </w:tcPr>
          <w:p>
            <w:pPr>
              <w:ind w:left="220"/>
              <w:spacing w:after="0"/>
              <w:rPr>
                <w:sz w:val="20"/>
                <w:szCs w:val="20"/>
                <w:color w:val="auto"/>
              </w:rPr>
            </w:pPr>
            <w:r>
              <w:rPr>
                <w:rFonts w:ascii="Arial" w:cs="Arial" w:eastAsia="Arial" w:hAnsi="Arial"/>
                <w:sz w:val="16"/>
                <w:szCs w:val="16"/>
                <w:color w:val="auto"/>
              </w:rPr>
              <w:t>Construction and development</w:t>
            </w:r>
          </w:p>
        </w:tc>
        <w:tc>
          <w:tcPr>
            <w:tcW w:w="2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1,055</w:t>
            </w:r>
          </w:p>
        </w:tc>
        <w:tc>
          <w:tcPr>
            <w:tcW w:w="0" w:type="dxa"/>
            <w:vAlign w:val="bottom"/>
          </w:tcPr>
          <w:p>
            <w:pPr>
              <w:spacing w:after="0"/>
              <w:rPr>
                <w:sz w:val="1"/>
                <w:szCs w:val="1"/>
                <w:color w:val="auto"/>
              </w:rPr>
            </w:pPr>
          </w:p>
        </w:tc>
      </w:tr>
      <w:tr>
        <w:trPr>
          <w:trHeight w:val="217"/>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and industrial</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5"/>
        </w:trPr>
        <w:tc>
          <w:tcPr>
            <w:tcW w:w="6940" w:type="dxa"/>
            <w:vAlign w:val="bottom"/>
            <w:gridSpan w:val="2"/>
          </w:tcPr>
          <w:p>
            <w:pPr>
              <w:ind w:left="20"/>
              <w:spacing w:after="0"/>
              <w:rPr>
                <w:sz w:val="20"/>
                <w:szCs w:val="20"/>
                <w:color w:val="auto"/>
              </w:rPr>
            </w:pPr>
            <w:r>
              <w:rPr>
                <w:rFonts w:ascii="Arial" w:cs="Arial" w:eastAsia="Arial" w:hAnsi="Arial"/>
                <w:sz w:val="16"/>
                <w:szCs w:val="16"/>
                <w:color w:val="auto"/>
              </w:rPr>
              <w:t>Tax-exempt</w:t>
            </w:r>
          </w:p>
        </w:tc>
        <w:tc>
          <w:tcPr>
            <w:tcW w:w="2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940" w:type="dxa"/>
            <w:vAlign w:val="bottom"/>
            <w:gridSpan w:val="2"/>
          </w:tcPr>
          <w:p>
            <w:pPr>
              <w:ind w:left="220"/>
              <w:spacing w:after="0"/>
              <w:rPr>
                <w:sz w:val="20"/>
                <w:szCs w:val="20"/>
                <w:color w:val="auto"/>
              </w:rPr>
            </w:pPr>
            <w:r>
              <w:rPr>
                <w:rFonts w:ascii="Arial" w:cs="Arial" w:eastAsia="Arial" w:hAnsi="Arial"/>
                <w:sz w:val="16"/>
                <w:szCs w:val="16"/>
                <w:color w:val="auto"/>
              </w:rPr>
              <w:t>Total loans HFI</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1,124</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2,909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4,033</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6"/>
                <w:szCs w:val="16"/>
                <w:color w:val="auto"/>
              </w:rPr>
              <w:t>The following table presents nonaccrual loans as of December 31, 2025:</w:t>
            </w: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69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94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Nonaccrual with</w:t>
            </w:r>
          </w:p>
        </w:tc>
        <w:tc>
          <w:tcPr>
            <w:tcW w:w="1420" w:type="dxa"/>
            <w:vAlign w:val="bottom"/>
            <w:gridSpan w:val="3"/>
          </w:tcPr>
          <w:p>
            <w:pPr>
              <w:ind w:left="20"/>
              <w:spacing w:after="0"/>
              <w:rPr>
                <w:sz w:val="20"/>
                <w:szCs w:val="20"/>
                <w:color w:val="auto"/>
              </w:rPr>
            </w:pPr>
            <w:r>
              <w:rPr>
                <w:rFonts w:ascii="Arial" w:cs="Arial" w:eastAsia="Arial" w:hAnsi="Arial"/>
                <w:sz w:val="16"/>
                <w:szCs w:val="16"/>
                <w:b w:val="1"/>
                <w:bCs w:val="1"/>
                <w:color w:val="auto"/>
              </w:rPr>
              <w:t>Nonaccrual with</w:t>
            </w:r>
          </w:p>
        </w:tc>
        <w:tc>
          <w:tcPr>
            <w:tcW w:w="160" w:type="dxa"/>
            <w:vAlign w:val="bottom"/>
          </w:tcPr>
          <w:p>
            <w:pPr>
              <w:spacing w:after="0"/>
              <w:rPr>
                <w:sz w:val="24"/>
                <w:szCs w:val="24"/>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16"/>
        </w:trPr>
        <w:tc>
          <w:tcPr>
            <w:tcW w:w="6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No ACL</w:t>
            </w:r>
          </w:p>
        </w:tc>
        <w:tc>
          <w:tcPr>
            <w:tcW w:w="30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ACL</w:t>
            </w:r>
          </w:p>
        </w:tc>
        <w:tc>
          <w:tcPr>
            <w:tcW w:w="160" w:type="dxa"/>
            <w:vAlign w:val="bottom"/>
          </w:tcPr>
          <w:p>
            <w:pPr>
              <w:spacing w:after="0"/>
              <w:rPr>
                <w:sz w:val="18"/>
                <w:szCs w:val="18"/>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rPr>
              <w:t>Nonaccrual</w:t>
            </w:r>
          </w:p>
        </w:tc>
        <w:tc>
          <w:tcPr>
            <w:tcW w:w="0" w:type="dxa"/>
            <w:vAlign w:val="bottom"/>
          </w:tcPr>
          <w:p>
            <w:pPr>
              <w:spacing w:after="0"/>
              <w:rPr>
                <w:sz w:val="1"/>
                <w:szCs w:val="1"/>
                <w:color w:val="auto"/>
              </w:rPr>
            </w:pPr>
          </w:p>
        </w:tc>
      </w:tr>
      <w:tr>
        <w:trPr>
          <w:trHeight w:val="196"/>
        </w:trPr>
        <w:tc>
          <w:tcPr>
            <w:tcW w:w="69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Real estate:</w:t>
            </w: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940" w:type="dxa"/>
            <w:vAlign w:val="bottom"/>
            <w:gridSpan w:val="2"/>
          </w:tcPr>
          <w:p>
            <w:pPr>
              <w:ind w:left="220"/>
              <w:spacing w:after="0"/>
              <w:rPr>
                <w:sz w:val="20"/>
                <w:szCs w:val="20"/>
                <w:color w:val="auto"/>
              </w:rPr>
            </w:pPr>
            <w:r>
              <w:rPr>
                <w:rFonts w:ascii="Arial" w:cs="Arial" w:eastAsia="Arial" w:hAnsi="Arial"/>
                <w:sz w:val="16"/>
                <w:szCs w:val="16"/>
                <w:color w:val="auto"/>
              </w:rPr>
              <w:t>Commercial real estate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One-to-four family residential</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215"/>
        </w:trPr>
        <w:tc>
          <w:tcPr>
            <w:tcW w:w="6940" w:type="dxa"/>
            <w:vAlign w:val="bottom"/>
            <w:gridSpan w:val="2"/>
          </w:tcPr>
          <w:p>
            <w:pPr>
              <w:ind w:left="220"/>
              <w:spacing w:after="0"/>
              <w:rPr>
                <w:sz w:val="20"/>
                <w:szCs w:val="20"/>
                <w:color w:val="auto"/>
              </w:rPr>
            </w:pPr>
            <w:r>
              <w:rPr>
                <w:rFonts w:ascii="Arial" w:cs="Arial" w:eastAsia="Arial" w:hAnsi="Arial"/>
                <w:sz w:val="16"/>
                <w:szCs w:val="16"/>
                <w:color w:val="auto"/>
              </w:rPr>
              <w:t>Construction and development</w:t>
            </w:r>
          </w:p>
        </w:tc>
        <w:tc>
          <w:tcPr>
            <w:tcW w:w="2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1,189</w:t>
            </w:r>
          </w:p>
        </w:tc>
        <w:tc>
          <w:tcPr>
            <w:tcW w:w="0" w:type="dxa"/>
            <w:vAlign w:val="bottom"/>
          </w:tcPr>
          <w:p>
            <w:pPr>
              <w:spacing w:after="0"/>
              <w:rPr>
                <w:sz w:val="1"/>
                <w:szCs w:val="1"/>
                <w:color w:val="auto"/>
              </w:rPr>
            </w:pPr>
          </w:p>
        </w:tc>
      </w:tr>
      <w:tr>
        <w:trPr>
          <w:trHeight w:val="217"/>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and industrial</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5"/>
        </w:trPr>
        <w:tc>
          <w:tcPr>
            <w:tcW w:w="6940" w:type="dxa"/>
            <w:vAlign w:val="bottom"/>
            <w:gridSpan w:val="2"/>
          </w:tcPr>
          <w:p>
            <w:pPr>
              <w:ind w:left="20"/>
              <w:spacing w:after="0"/>
              <w:rPr>
                <w:sz w:val="20"/>
                <w:szCs w:val="20"/>
                <w:color w:val="auto"/>
              </w:rPr>
            </w:pPr>
            <w:r>
              <w:rPr>
                <w:rFonts w:ascii="Arial" w:cs="Arial" w:eastAsia="Arial" w:hAnsi="Arial"/>
                <w:sz w:val="16"/>
                <w:szCs w:val="16"/>
                <w:color w:val="auto"/>
              </w:rPr>
              <w:t>Tax-exempt</w:t>
            </w:r>
          </w:p>
        </w:tc>
        <w:tc>
          <w:tcPr>
            <w:tcW w:w="2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0"/>
        </w:trPr>
        <w:tc>
          <w:tcPr>
            <w:tcW w:w="6940" w:type="dxa"/>
            <w:vAlign w:val="bottom"/>
            <w:gridSpan w:val="2"/>
          </w:tcPr>
          <w:p>
            <w:pPr>
              <w:ind w:left="220"/>
              <w:spacing w:after="0"/>
              <w:rPr>
                <w:sz w:val="20"/>
                <w:szCs w:val="20"/>
                <w:color w:val="auto"/>
              </w:rPr>
            </w:pPr>
            <w:r>
              <w:rPr>
                <w:rFonts w:ascii="Arial" w:cs="Arial" w:eastAsia="Arial" w:hAnsi="Arial"/>
                <w:sz w:val="16"/>
                <w:szCs w:val="16"/>
                <w:color w:val="auto"/>
              </w:rPr>
              <w:t>Total loans HFI</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2,931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3,281</w:t>
            </w:r>
          </w:p>
        </w:tc>
        <w:tc>
          <w:tcPr>
            <w:tcW w:w="0" w:type="dxa"/>
            <w:vAlign w:val="bottom"/>
          </w:tcPr>
          <w:p>
            <w:pPr>
              <w:spacing w:after="0"/>
              <w:rPr>
                <w:sz w:val="1"/>
                <w:szCs w:val="1"/>
                <w:color w:val="auto"/>
              </w:rPr>
            </w:pPr>
          </w:p>
        </w:tc>
      </w:tr>
      <w:tr>
        <w:trPr>
          <w:trHeight w:val="21"/>
        </w:trPr>
        <w:tc>
          <w:tcPr>
            <w:tcW w:w="23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No material interest income was recognized in the consolidated statements of income on nonaccrual loans for the three months ended March 31, 2026 and 2025.</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aging analysis of the past due loans and loans 90 days or more past due and still accruing interest by loan category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2026:</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9"/>
              </w:rPr>
              <w:t>Past Due</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3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1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30-59 Days</w:t>
            </w: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rPr>
              <w:t>60-89 Days</w:t>
            </w:r>
          </w:p>
        </w:tc>
        <w:tc>
          <w:tcPr>
            <w:tcW w:w="100" w:type="dxa"/>
            <w:vAlign w:val="bottom"/>
          </w:tcPr>
          <w:p>
            <w:pPr>
              <w:spacing w:after="0"/>
              <w:rPr>
                <w:sz w:val="13"/>
                <w:szCs w:val="13"/>
                <w:color w:val="auto"/>
              </w:rPr>
            </w:pPr>
          </w:p>
        </w:tc>
        <w:tc>
          <w:tcPr>
            <w:tcW w:w="94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90 Days or</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Current</w:t>
            </w:r>
          </w:p>
        </w:tc>
        <w:tc>
          <w:tcPr>
            <w:tcW w:w="14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Total Loans HFI</w:t>
            </w:r>
          </w:p>
        </w:tc>
        <w:tc>
          <w:tcPr>
            <w:tcW w:w="1700" w:type="dxa"/>
            <w:vAlign w:val="bottom"/>
            <w:gridSpan w:val="2"/>
          </w:tcPr>
          <w:p>
            <w:pPr>
              <w:ind w:left="40"/>
              <w:spacing w:after="0" w:line="155" w:lineRule="exact"/>
              <w:rPr>
                <w:sz w:val="20"/>
                <w:szCs w:val="20"/>
                <w:color w:val="auto"/>
              </w:rPr>
            </w:pPr>
            <w:r>
              <w:rPr>
                <w:rFonts w:ascii="Arial" w:cs="Arial" w:eastAsia="Arial" w:hAnsi="Arial"/>
                <w:sz w:val="16"/>
                <w:szCs w:val="16"/>
                <w:b w:val="1"/>
                <w:bCs w:val="1"/>
                <w:color w:val="auto"/>
              </w:rPr>
              <w:t>90 Days or More Past</w:t>
            </w:r>
          </w:p>
        </w:tc>
        <w:tc>
          <w:tcPr>
            <w:tcW w:w="0" w:type="dxa"/>
            <w:vAlign w:val="bottom"/>
          </w:tcPr>
          <w:p>
            <w:pPr>
              <w:spacing w:after="0"/>
              <w:rPr>
                <w:sz w:val="1"/>
                <w:szCs w:val="1"/>
                <w:color w:val="auto"/>
              </w:rPr>
            </w:pPr>
          </w:p>
        </w:tc>
      </w:tr>
      <w:tr>
        <w:trPr>
          <w:trHeight w:val="216"/>
        </w:trPr>
        <w:tc>
          <w:tcPr>
            <w:tcW w:w="3360" w:type="dxa"/>
            <w:vAlign w:val="bottom"/>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More</w:t>
            </w:r>
          </w:p>
        </w:tc>
        <w:tc>
          <w:tcPr>
            <w:tcW w:w="2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b w:val="1"/>
                <w:bCs w:val="1"/>
                <w:color w:val="auto"/>
              </w:rPr>
              <w:t>Due and Accruing</w:t>
            </w:r>
          </w:p>
        </w:tc>
        <w:tc>
          <w:tcPr>
            <w:tcW w:w="0" w:type="dxa"/>
            <w:vAlign w:val="bottom"/>
          </w:tcPr>
          <w:p>
            <w:pPr>
              <w:spacing w:after="0"/>
              <w:rPr>
                <w:sz w:val="1"/>
                <w:szCs w:val="1"/>
                <w:color w:val="auto"/>
              </w:rPr>
            </w:pPr>
          </w:p>
        </w:tc>
      </w:tr>
      <w:tr>
        <w:trPr>
          <w:trHeight w:val="196"/>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Real estate:</w:t>
            </w:r>
          </w:p>
        </w:tc>
        <w:tc>
          <w:tcPr>
            <w:tcW w:w="3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360" w:type="dxa"/>
            <w:vAlign w:val="bottom"/>
          </w:tcPr>
          <w:p>
            <w:pPr>
              <w:ind w:left="220"/>
              <w:spacing w:after="0"/>
              <w:rPr>
                <w:sz w:val="20"/>
                <w:szCs w:val="20"/>
                <w:color w:val="auto"/>
              </w:rPr>
            </w:pPr>
            <w:r>
              <w:rPr>
                <w:rFonts w:ascii="Arial" w:cs="Arial" w:eastAsia="Arial" w:hAnsi="Arial"/>
                <w:sz w:val="16"/>
                <w:szCs w:val="16"/>
                <w:color w:val="auto"/>
              </w:rPr>
              <w:t>Commercial real estate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910,230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910,965</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One-to-four family residential</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629,022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632,554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5"/>
        </w:trPr>
        <w:tc>
          <w:tcPr>
            <w:tcW w:w="3360" w:type="dxa"/>
            <w:vAlign w:val="bottom"/>
          </w:tcPr>
          <w:p>
            <w:pPr>
              <w:ind w:left="220"/>
              <w:spacing w:after="0"/>
              <w:rPr>
                <w:sz w:val="20"/>
                <w:szCs w:val="20"/>
                <w:color w:val="auto"/>
              </w:rPr>
            </w:pPr>
            <w:r>
              <w:rPr>
                <w:rFonts w:ascii="Arial" w:cs="Arial" w:eastAsia="Arial" w:hAnsi="Arial"/>
                <w:sz w:val="16"/>
                <w:szCs w:val="16"/>
                <w:color w:val="auto"/>
              </w:rPr>
              <w:t>Construction and development</w:t>
            </w:r>
          </w:p>
        </w:tc>
        <w:tc>
          <w:tcPr>
            <w:tcW w:w="3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239,631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240,686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and industrial</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391,394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391,611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360" w:type="dxa"/>
            <w:vAlign w:val="bottom"/>
          </w:tcPr>
          <w:p>
            <w:pPr>
              <w:ind w:left="20"/>
              <w:spacing w:after="0"/>
              <w:rPr>
                <w:sz w:val="20"/>
                <w:szCs w:val="20"/>
                <w:color w:val="auto"/>
              </w:rPr>
            </w:pPr>
            <w:r>
              <w:rPr>
                <w:rFonts w:ascii="Arial" w:cs="Arial" w:eastAsia="Arial" w:hAnsi="Arial"/>
                <w:sz w:val="16"/>
                <w:szCs w:val="16"/>
                <w:color w:val="auto"/>
              </w:rPr>
              <w:t>Tax-exempt</w:t>
            </w:r>
          </w:p>
        </w:tc>
        <w:tc>
          <w:tcPr>
            <w:tcW w:w="3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52,779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52,779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25,932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25,951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3360" w:type="dxa"/>
            <w:vAlign w:val="bottom"/>
          </w:tcPr>
          <w:p>
            <w:pPr>
              <w:ind w:left="220"/>
              <w:spacing w:after="0"/>
              <w:rPr>
                <w:sz w:val="20"/>
                <w:szCs w:val="20"/>
                <w:color w:val="auto"/>
              </w:rPr>
            </w:pPr>
            <w:r>
              <w:rPr>
                <w:rFonts w:ascii="Arial" w:cs="Arial" w:eastAsia="Arial" w:hAnsi="Arial"/>
                <w:sz w:val="16"/>
                <w:szCs w:val="16"/>
                <w:color w:val="auto"/>
              </w:rPr>
              <w:t>Total loans HFI</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2,248,988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2,254,546</w:t>
            </w:r>
          </w:p>
        </w:tc>
        <w:tc>
          <w:tcPr>
            <w:tcW w:w="10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aging analysis of the past due loans and loans 90 days or more past due and still accruing interest by loan category as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9"/>
              </w:rPr>
              <w:t>Past Due</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3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1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30-59 Days</w:t>
            </w: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rPr>
              <w:t>60-89 Days</w:t>
            </w:r>
          </w:p>
        </w:tc>
        <w:tc>
          <w:tcPr>
            <w:tcW w:w="100" w:type="dxa"/>
            <w:vAlign w:val="bottom"/>
          </w:tcPr>
          <w:p>
            <w:pPr>
              <w:spacing w:after="0"/>
              <w:rPr>
                <w:sz w:val="13"/>
                <w:szCs w:val="13"/>
                <w:color w:val="auto"/>
              </w:rPr>
            </w:pPr>
          </w:p>
        </w:tc>
        <w:tc>
          <w:tcPr>
            <w:tcW w:w="94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90 Days or</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Current</w:t>
            </w:r>
          </w:p>
        </w:tc>
        <w:tc>
          <w:tcPr>
            <w:tcW w:w="14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Total Loans HFI</w:t>
            </w:r>
          </w:p>
        </w:tc>
        <w:tc>
          <w:tcPr>
            <w:tcW w:w="1700" w:type="dxa"/>
            <w:vAlign w:val="bottom"/>
            <w:gridSpan w:val="2"/>
          </w:tcPr>
          <w:p>
            <w:pPr>
              <w:ind w:left="40"/>
              <w:spacing w:after="0" w:line="155" w:lineRule="exact"/>
              <w:rPr>
                <w:sz w:val="20"/>
                <w:szCs w:val="20"/>
                <w:color w:val="auto"/>
              </w:rPr>
            </w:pPr>
            <w:r>
              <w:rPr>
                <w:rFonts w:ascii="Arial" w:cs="Arial" w:eastAsia="Arial" w:hAnsi="Arial"/>
                <w:sz w:val="16"/>
                <w:szCs w:val="16"/>
                <w:b w:val="1"/>
                <w:bCs w:val="1"/>
                <w:color w:val="auto"/>
              </w:rPr>
              <w:t>90 Days or More Past</w:t>
            </w:r>
          </w:p>
        </w:tc>
        <w:tc>
          <w:tcPr>
            <w:tcW w:w="0" w:type="dxa"/>
            <w:vAlign w:val="bottom"/>
          </w:tcPr>
          <w:p>
            <w:pPr>
              <w:spacing w:after="0"/>
              <w:rPr>
                <w:sz w:val="1"/>
                <w:szCs w:val="1"/>
                <w:color w:val="auto"/>
              </w:rPr>
            </w:pPr>
          </w:p>
        </w:tc>
      </w:tr>
      <w:tr>
        <w:trPr>
          <w:trHeight w:val="216"/>
        </w:trPr>
        <w:tc>
          <w:tcPr>
            <w:tcW w:w="3360" w:type="dxa"/>
            <w:vAlign w:val="bottom"/>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More</w:t>
            </w:r>
          </w:p>
        </w:tc>
        <w:tc>
          <w:tcPr>
            <w:tcW w:w="2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b w:val="1"/>
                <w:bCs w:val="1"/>
                <w:color w:val="auto"/>
              </w:rPr>
              <w:t>Due and Accruing</w:t>
            </w:r>
          </w:p>
        </w:tc>
        <w:tc>
          <w:tcPr>
            <w:tcW w:w="0" w:type="dxa"/>
            <w:vAlign w:val="bottom"/>
          </w:tcPr>
          <w:p>
            <w:pPr>
              <w:spacing w:after="0"/>
              <w:rPr>
                <w:sz w:val="1"/>
                <w:szCs w:val="1"/>
                <w:color w:val="auto"/>
              </w:rPr>
            </w:pPr>
          </w:p>
        </w:tc>
      </w:tr>
      <w:tr>
        <w:trPr>
          <w:trHeight w:val="196"/>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Real estate:</w:t>
            </w:r>
          </w:p>
        </w:tc>
        <w:tc>
          <w:tcPr>
            <w:tcW w:w="3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360" w:type="dxa"/>
            <w:vAlign w:val="bottom"/>
          </w:tcPr>
          <w:p>
            <w:pPr>
              <w:ind w:left="220"/>
              <w:spacing w:after="0"/>
              <w:rPr>
                <w:sz w:val="20"/>
                <w:szCs w:val="20"/>
                <w:color w:val="auto"/>
              </w:rPr>
            </w:pPr>
            <w:r>
              <w:rPr>
                <w:rFonts w:ascii="Arial" w:cs="Arial" w:eastAsia="Arial" w:hAnsi="Arial"/>
                <w:sz w:val="16"/>
                <w:szCs w:val="16"/>
                <w:color w:val="auto"/>
              </w:rPr>
              <w:t>Commercial real estate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920,120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920,294</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One-to-four family residential</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624,581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628,762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15"/>
        </w:trPr>
        <w:tc>
          <w:tcPr>
            <w:tcW w:w="3360" w:type="dxa"/>
            <w:vAlign w:val="bottom"/>
          </w:tcPr>
          <w:p>
            <w:pPr>
              <w:ind w:left="220"/>
              <w:spacing w:after="0"/>
              <w:rPr>
                <w:sz w:val="20"/>
                <w:szCs w:val="20"/>
                <w:color w:val="auto"/>
              </w:rPr>
            </w:pPr>
            <w:r>
              <w:rPr>
                <w:rFonts w:ascii="Arial" w:cs="Arial" w:eastAsia="Arial" w:hAnsi="Arial"/>
                <w:sz w:val="16"/>
                <w:szCs w:val="16"/>
                <w:color w:val="auto"/>
              </w:rPr>
              <w:t>Construction and development</w:t>
            </w:r>
          </w:p>
        </w:tc>
        <w:tc>
          <w:tcPr>
            <w:tcW w:w="3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220,025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221,214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and industrial</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392,431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392,824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360" w:type="dxa"/>
            <w:vAlign w:val="bottom"/>
          </w:tcPr>
          <w:p>
            <w:pPr>
              <w:ind w:left="20"/>
              <w:spacing w:after="0"/>
              <w:rPr>
                <w:sz w:val="20"/>
                <w:szCs w:val="20"/>
                <w:color w:val="auto"/>
              </w:rPr>
            </w:pPr>
            <w:r>
              <w:rPr>
                <w:rFonts w:ascii="Arial" w:cs="Arial" w:eastAsia="Arial" w:hAnsi="Arial"/>
                <w:sz w:val="16"/>
                <w:szCs w:val="16"/>
                <w:color w:val="auto"/>
              </w:rPr>
              <w:t>Tax-exempt</w:t>
            </w:r>
          </w:p>
        </w:tc>
        <w:tc>
          <w:tcPr>
            <w:tcW w:w="3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57,541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57,541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28,000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28,034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0"/>
        </w:trPr>
        <w:tc>
          <w:tcPr>
            <w:tcW w:w="3360" w:type="dxa"/>
            <w:vAlign w:val="bottom"/>
          </w:tcPr>
          <w:p>
            <w:pPr>
              <w:ind w:left="220"/>
              <w:spacing w:after="0"/>
              <w:rPr>
                <w:sz w:val="20"/>
                <w:szCs w:val="20"/>
                <w:color w:val="auto"/>
              </w:rPr>
            </w:pPr>
            <w:r>
              <w:rPr>
                <w:rFonts w:ascii="Arial" w:cs="Arial" w:eastAsia="Arial" w:hAnsi="Arial"/>
                <w:sz w:val="16"/>
                <w:szCs w:val="16"/>
                <w:color w:val="auto"/>
              </w:rPr>
              <w:t>Total loans HFI</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2,242,698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2,248,669</w:t>
            </w:r>
          </w:p>
        </w:tc>
        <w:tc>
          <w:tcPr>
            <w:tcW w:w="10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Loan Modifications</w:t>
      </w:r>
    </w:p>
    <w:p>
      <w:pPr>
        <w:spacing w:after="0" w:line="138"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Modifications are made to a borrower experiencing financial difficulty, and the modified terms are in the form of principal forgiveness, interest rate reduction, other-than-insignificant payment delay, or a term extension in the current reporting period. For the periods ended March 31, 2026 and 2025, modifications were made to certain borrowers by granting term extensions. These term extensions were not significant to the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Credit Quality Indicators</w:t>
      </w:r>
    </w:p>
    <w:p>
      <w:pPr>
        <w:spacing w:after="0" w:line="138"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Loans are categorized based on the degree of risk inherent in the credit and the ability of the borrower to service the debt. A description of the general characteristics of the Bank’s risk rating grades follows: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Pass - These loans are of satisfactory quality and do not require a more severe classification.</w:t>
      </w:r>
    </w:p>
    <w:p>
      <w:pPr>
        <w:spacing w:after="0" w:line="140" w:lineRule="exact"/>
        <w:rPr>
          <w:sz w:val="20"/>
          <w:szCs w:val="20"/>
          <w:color w:val="auto"/>
        </w:rPr>
      </w:pPr>
    </w:p>
    <w:p>
      <w:pPr>
        <w:jc w:val="both"/>
        <w:ind w:right="340"/>
        <w:spacing w:after="0" w:line="286" w:lineRule="auto"/>
        <w:rPr>
          <w:sz w:val="20"/>
          <w:szCs w:val="20"/>
          <w:color w:val="auto"/>
        </w:rPr>
      </w:pPr>
      <w:r>
        <w:rPr>
          <w:rFonts w:ascii="Arial" w:cs="Arial" w:eastAsia="Arial" w:hAnsi="Arial"/>
          <w:sz w:val="16"/>
          <w:szCs w:val="16"/>
          <w:color w:val="auto"/>
        </w:rPr>
        <w:t>Special mention - This category includes loans with potential weaknesses that deserve management’s close attention. If left uncorrected, these potential weaknesses may result in deterioration of the repayment prospects for the loan. However, the loss potential does not warrant substandard classification.</w:t>
      </w:r>
    </w:p>
    <w:p>
      <w:pPr>
        <w:spacing w:after="0" w:line="75"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Substandard - Loans in this category have well-defined weaknesses that jeopardize normal repayment of principal and interest. Prompt corrective action is required to reduce exposure and to assure adequate remedial actions are taken by the borrower. If these weaknesses do not improve, loss is possible.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Doubtful - Loans in this category have well-defined weaknesses that make full collection improbable.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Loss - Loans classified in this category are considered uncollectible and charged-off to the ACL.</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As of March 31, 2026, the Company had no loans classified as doubtful or loss. The following table summarizes loans by risk rating and year of origination as of March 31, 2026, and gross charge-offs for the three months ended March 31, 2026:</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rPr>
              <w:t>Year of Origination</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Revolving</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2"/>
                <w:szCs w:val="12"/>
                <w:color w:val="auto"/>
              </w:rPr>
            </w:pPr>
          </w:p>
        </w:tc>
        <w:tc>
          <w:tcPr>
            <w:tcW w:w="7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2"/>
                <w:szCs w:val="12"/>
                <w:color w:val="auto"/>
              </w:rPr>
            </w:pPr>
          </w:p>
        </w:tc>
        <w:tc>
          <w:tcPr>
            <w:tcW w:w="11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Prior Years</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Lines</w:t>
            </w: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Real estate:</w:t>
            </w:r>
          </w:p>
        </w:tc>
        <w:tc>
          <w:tcPr>
            <w:tcW w:w="3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80" w:type="dxa"/>
            <w:vAlign w:val="bottom"/>
          </w:tcPr>
          <w:p>
            <w:pPr>
              <w:ind w:left="80"/>
              <w:spacing w:after="0"/>
              <w:rPr>
                <w:sz w:val="20"/>
                <w:szCs w:val="20"/>
                <w:color w:val="auto"/>
              </w:rPr>
            </w:pPr>
            <w:r>
              <w:rPr>
                <w:rFonts w:ascii="Arial" w:cs="Arial" w:eastAsia="Arial" w:hAnsi="Arial"/>
                <w:sz w:val="16"/>
                <w:szCs w:val="16"/>
                <w:color w:val="auto"/>
              </w:rPr>
              <w:t>Commercial real estate</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Pass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246,388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887,142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80" w:type="dxa"/>
            <w:vAlign w:val="bottom"/>
          </w:tcPr>
          <w:p>
            <w:pPr>
              <w:ind w:left="320"/>
              <w:spacing w:after="0"/>
              <w:rPr>
                <w:sz w:val="20"/>
                <w:szCs w:val="20"/>
                <w:color w:val="auto"/>
              </w:rPr>
            </w:pPr>
            <w:r>
              <w:rPr>
                <w:rFonts w:ascii="Arial" w:cs="Arial" w:eastAsia="Arial" w:hAnsi="Arial"/>
                <w:sz w:val="16"/>
                <w:szCs w:val="16"/>
                <w:color w:val="auto"/>
              </w:rPr>
              <w:t>Special Mention</w:t>
            </w: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Substandard</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tcPr>
          <w:p>
            <w:pPr>
              <w:ind w:left="20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41,247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165,053</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138,503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85,338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204,597</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254,877</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21,350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910,965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00" w:type="dxa"/>
            <w:vAlign w:val="bottom"/>
            <w:gridSpan w:val="2"/>
          </w:tcPr>
          <w:p>
            <w:pPr>
              <w:ind w:left="80"/>
              <w:spacing w:after="0"/>
              <w:rPr>
                <w:sz w:val="20"/>
                <w:szCs w:val="20"/>
                <w:color w:val="auto"/>
              </w:rPr>
            </w:pPr>
            <w:r>
              <w:rPr>
                <w:rFonts w:ascii="Arial" w:cs="Arial" w:eastAsia="Arial" w:hAnsi="Arial"/>
                <w:sz w:val="16"/>
                <w:szCs w:val="16"/>
                <w:color w:val="auto"/>
              </w:rPr>
              <w:t>One-to-four family residential</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Pass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110,487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220,558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626,284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80" w:type="dxa"/>
            <w:vAlign w:val="bottom"/>
          </w:tcPr>
          <w:p>
            <w:pPr>
              <w:ind w:left="320"/>
              <w:spacing w:after="0"/>
              <w:rPr>
                <w:sz w:val="20"/>
                <w:szCs w:val="20"/>
                <w:color w:val="auto"/>
              </w:rPr>
            </w:pPr>
            <w:r>
              <w:rPr>
                <w:rFonts w:ascii="Arial" w:cs="Arial" w:eastAsia="Arial" w:hAnsi="Arial"/>
                <w:sz w:val="16"/>
                <w:szCs w:val="16"/>
                <w:color w:val="auto"/>
              </w:rPr>
              <w:t>Special Mention</w:t>
            </w: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Substandard</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tcPr>
          <w:p>
            <w:pPr>
              <w:ind w:left="20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21,873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110,830</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66,828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86,076</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99,078</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222,394</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25,475</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632,554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00" w:type="dxa"/>
            <w:vAlign w:val="bottom"/>
            <w:gridSpan w:val="2"/>
          </w:tcPr>
          <w:p>
            <w:pPr>
              <w:ind w:left="80"/>
              <w:spacing w:after="0"/>
              <w:rPr>
                <w:sz w:val="20"/>
                <w:szCs w:val="20"/>
                <w:color w:val="auto"/>
              </w:rPr>
            </w:pPr>
            <w:r>
              <w:rPr>
                <w:rFonts w:ascii="Arial" w:cs="Arial" w:eastAsia="Arial" w:hAnsi="Arial"/>
                <w:sz w:val="16"/>
                <w:szCs w:val="16"/>
                <w:color w:val="auto"/>
              </w:rPr>
              <w:t>Construction and development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Pass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239,434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80" w:type="dxa"/>
            <w:vAlign w:val="bottom"/>
          </w:tcPr>
          <w:p>
            <w:pPr>
              <w:ind w:left="320"/>
              <w:spacing w:after="0"/>
              <w:rPr>
                <w:sz w:val="20"/>
                <w:szCs w:val="20"/>
                <w:color w:val="auto"/>
              </w:rPr>
            </w:pPr>
            <w:r>
              <w:rPr>
                <w:rFonts w:ascii="Arial" w:cs="Arial" w:eastAsia="Arial" w:hAnsi="Arial"/>
                <w:sz w:val="16"/>
                <w:szCs w:val="16"/>
                <w:color w:val="auto"/>
              </w:rPr>
              <w:t>Special Mention</w:t>
            </w: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Substandard</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tcPr>
          <w:p>
            <w:pPr>
              <w:ind w:left="20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6,874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108,287</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60,449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49,401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6,663</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3,579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5,433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240,686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6"/>
                <w:szCs w:val="16"/>
                <w:color w:val="auto"/>
              </w:rPr>
              <w:t>Commercial and industrial</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Pass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150,440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389,033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80" w:type="dxa"/>
            <w:vAlign w:val="bottom"/>
          </w:tcPr>
          <w:p>
            <w:pPr>
              <w:ind w:left="200"/>
              <w:spacing w:after="0"/>
              <w:rPr>
                <w:sz w:val="20"/>
                <w:szCs w:val="20"/>
                <w:color w:val="auto"/>
              </w:rPr>
            </w:pPr>
            <w:r>
              <w:rPr>
                <w:rFonts w:ascii="Arial" w:cs="Arial" w:eastAsia="Arial" w:hAnsi="Arial"/>
                <w:sz w:val="16"/>
                <w:szCs w:val="16"/>
                <w:color w:val="auto"/>
              </w:rPr>
              <w:t>Special Mention</w:t>
            </w: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Substandard</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tcPr>
          <w:p>
            <w:pPr>
              <w:ind w:left="10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42,210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95,944</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43,156</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24,593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19,348</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15,211</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151,149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391,611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6"/>
                <w:szCs w:val="16"/>
                <w:color w:val="auto"/>
              </w:rPr>
              <w:t>Tax-exempt</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Pass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80" w:type="dxa"/>
            <w:vAlign w:val="bottom"/>
          </w:tcPr>
          <w:p>
            <w:pPr>
              <w:ind w:left="200"/>
              <w:spacing w:after="0"/>
              <w:rPr>
                <w:sz w:val="20"/>
                <w:szCs w:val="20"/>
                <w:color w:val="auto"/>
              </w:rPr>
            </w:pPr>
            <w:r>
              <w:rPr>
                <w:rFonts w:ascii="Arial" w:cs="Arial" w:eastAsia="Arial" w:hAnsi="Arial"/>
                <w:sz w:val="16"/>
                <w:szCs w:val="16"/>
                <w:color w:val="auto"/>
              </w:rPr>
              <w:t>Special Mention</w:t>
            </w: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Substandard</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tcPr>
          <w:p>
            <w:pPr>
              <w:ind w:left="10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2,146</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13,406</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36,691</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52,779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6"/>
                <w:szCs w:val="16"/>
                <w:color w:val="auto"/>
              </w:rPr>
              <w:t>Consumer</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Pass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80" w:type="dxa"/>
            <w:vAlign w:val="bottom"/>
          </w:tcPr>
          <w:p>
            <w:pPr>
              <w:ind w:left="200"/>
              <w:spacing w:after="0"/>
              <w:rPr>
                <w:sz w:val="20"/>
                <w:szCs w:val="20"/>
                <w:color w:val="auto"/>
              </w:rPr>
            </w:pPr>
            <w:r>
              <w:rPr>
                <w:rFonts w:ascii="Arial" w:cs="Arial" w:eastAsia="Arial" w:hAnsi="Arial"/>
                <w:sz w:val="16"/>
                <w:szCs w:val="16"/>
                <w:color w:val="auto"/>
              </w:rPr>
              <w:t>Special Mention</w:t>
            </w: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Substandard</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tcPr>
          <w:p>
            <w:pPr>
              <w:ind w:left="10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4,152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10,365</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3,751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3,258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1,406</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2,720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ind w:left="200"/>
              <w:spacing w:after="0"/>
              <w:rPr>
                <w:sz w:val="20"/>
                <w:szCs w:val="20"/>
                <w:color w:val="auto"/>
              </w:rPr>
            </w:pPr>
            <w:r>
              <w:rPr>
                <w:rFonts w:ascii="Arial" w:cs="Arial" w:eastAsia="Arial" w:hAnsi="Arial"/>
                <w:sz w:val="16"/>
                <w:szCs w:val="16"/>
                <w:color w:val="auto"/>
              </w:rPr>
              <w:t>Total loans HFI</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116,356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490,479</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313,223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250,812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344,498</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533,051</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206,127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2,254,546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ind w:left="80"/>
              <w:spacing w:after="0"/>
              <w:rPr>
                <w:sz w:val="20"/>
                <w:szCs w:val="20"/>
                <w:color w:val="auto"/>
              </w:rPr>
            </w:pPr>
            <w:r>
              <w:rPr>
                <w:rFonts w:ascii="Arial" w:cs="Arial" w:eastAsia="Arial" w:hAnsi="Arial"/>
                <w:sz w:val="16"/>
                <w:szCs w:val="16"/>
                <w:color w:val="auto"/>
              </w:rPr>
              <w:t>Gross charge-offs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680"/>
        <w:spacing w:after="0" w:line="304" w:lineRule="auto"/>
        <w:rPr>
          <w:sz w:val="20"/>
          <w:szCs w:val="20"/>
          <w:color w:val="auto"/>
        </w:rPr>
      </w:pPr>
      <w:r>
        <w:rPr>
          <w:rFonts w:ascii="Arial" w:cs="Arial" w:eastAsia="Arial" w:hAnsi="Arial"/>
          <w:sz w:val="16"/>
          <w:szCs w:val="16"/>
          <w:color w:val="auto"/>
        </w:rPr>
        <w:t>As of December 31, 2025, the Company had no loans classified as doubtful or loss. The following table summarizes loans by risk rating and year of origination as of December 31, 2025, and gross charge-offs for the year ended December 31, 2025:</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rPr>
              <w:t>Year of Origination</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Revolving</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2"/>
                <w:szCs w:val="12"/>
                <w:color w:val="auto"/>
              </w:rPr>
            </w:pPr>
          </w:p>
        </w:tc>
        <w:tc>
          <w:tcPr>
            <w:tcW w:w="7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2"/>
                <w:szCs w:val="12"/>
                <w:color w:val="auto"/>
              </w:rPr>
            </w:pPr>
          </w:p>
        </w:tc>
        <w:tc>
          <w:tcPr>
            <w:tcW w:w="11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Prior Years</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Lines</w:t>
            </w: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Real estate:</w:t>
            </w:r>
          </w:p>
        </w:tc>
        <w:tc>
          <w:tcPr>
            <w:tcW w:w="3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80" w:type="dxa"/>
            <w:vAlign w:val="bottom"/>
          </w:tcPr>
          <w:p>
            <w:pPr>
              <w:ind w:left="80"/>
              <w:spacing w:after="0"/>
              <w:rPr>
                <w:sz w:val="20"/>
                <w:szCs w:val="20"/>
                <w:color w:val="auto"/>
              </w:rPr>
            </w:pPr>
            <w:r>
              <w:rPr>
                <w:rFonts w:ascii="Arial" w:cs="Arial" w:eastAsia="Arial" w:hAnsi="Arial"/>
                <w:sz w:val="16"/>
                <w:szCs w:val="16"/>
                <w:color w:val="auto"/>
              </w:rPr>
              <w:t>Commercial real estate</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Pass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145,282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211,897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187,813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913,837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80" w:type="dxa"/>
            <w:vAlign w:val="bottom"/>
          </w:tcPr>
          <w:p>
            <w:pPr>
              <w:ind w:left="320"/>
              <w:spacing w:after="0"/>
              <w:rPr>
                <w:sz w:val="20"/>
                <w:szCs w:val="20"/>
                <w:color w:val="auto"/>
              </w:rPr>
            </w:pPr>
            <w:r>
              <w:rPr>
                <w:rFonts w:ascii="Arial" w:cs="Arial" w:eastAsia="Arial" w:hAnsi="Arial"/>
                <w:sz w:val="16"/>
                <w:szCs w:val="16"/>
                <w:color w:val="auto"/>
              </w:rPr>
              <w:t>Special Mention</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Substandard</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tcPr>
          <w:p>
            <w:pPr>
              <w:ind w:left="20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172,802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145,962</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87,794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213,868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188,590</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93,507</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17,771</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920,294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00" w:type="dxa"/>
            <w:vAlign w:val="bottom"/>
            <w:gridSpan w:val="2"/>
          </w:tcPr>
          <w:p>
            <w:pPr>
              <w:ind w:left="80"/>
              <w:spacing w:after="0"/>
              <w:rPr>
                <w:sz w:val="20"/>
                <w:szCs w:val="20"/>
                <w:color w:val="auto"/>
              </w:rPr>
            </w:pPr>
            <w:r>
              <w:rPr>
                <w:rFonts w:ascii="Arial" w:cs="Arial" w:eastAsia="Arial" w:hAnsi="Arial"/>
                <w:sz w:val="16"/>
                <w:szCs w:val="16"/>
                <w:color w:val="auto"/>
              </w:rPr>
              <w:t>One-to-four family residential</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Pass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94,963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622,498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80" w:type="dxa"/>
            <w:vAlign w:val="bottom"/>
          </w:tcPr>
          <w:p>
            <w:pPr>
              <w:ind w:left="320"/>
              <w:spacing w:after="0"/>
              <w:rPr>
                <w:sz w:val="20"/>
                <w:szCs w:val="20"/>
                <w:color w:val="auto"/>
              </w:rPr>
            </w:pPr>
            <w:r>
              <w:rPr>
                <w:rFonts w:ascii="Arial" w:cs="Arial" w:eastAsia="Arial" w:hAnsi="Arial"/>
                <w:sz w:val="16"/>
                <w:szCs w:val="16"/>
                <w:color w:val="auto"/>
              </w:rPr>
              <w:t>Special Mention</w:t>
            </w: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Substandard</w:t>
            </w: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tcPr>
          <w:p>
            <w:pPr>
              <w:ind w:left="20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110,697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70,756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90,327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101,687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95,742</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134,959</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24,594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00" w:type="dxa"/>
            <w:vAlign w:val="bottom"/>
            <w:gridSpan w:val="2"/>
          </w:tcPr>
          <w:p>
            <w:pPr>
              <w:ind w:left="80"/>
              <w:spacing w:after="0"/>
              <w:rPr>
                <w:sz w:val="20"/>
                <w:szCs w:val="20"/>
                <w:color w:val="auto"/>
              </w:rPr>
            </w:pPr>
            <w:r>
              <w:rPr>
                <w:rFonts w:ascii="Arial" w:cs="Arial" w:eastAsia="Arial" w:hAnsi="Arial"/>
                <w:sz w:val="16"/>
                <w:szCs w:val="16"/>
                <w:color w:val="auto"/>
              </w:rPr>
              <w:t>Construction and development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Pass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66,981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219,822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80" w:type="dxa"/>
            <w:vAlign w:val="bottom"/>
          </w:tcPr>
          <w:p>
            <w:pPr>
              <w:ind w:left="320"/>
              <w:spacing w:after="0"/>
              <w:rPr>
                <w:sz w:val="20"/>
                <w:szCs w:val="20"/>
                <w:color w:val="auto"/>
              </w:rPr>
            </w:pPr>
            <w:r>
              <w:rPr>
                <w:rFonts w:ascii="Arial" w:cs="Arial" w:eastAsia="Arial" w:hAnsi="Arial"/>
                <w:sz w:val="16"/>
                <w:szCs w:val="16"/>
                <w:color w:val="auto"/>
              </w:rPr>
              <w:t>Special Mention</w:t>
            </w: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Substandard</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tcPr>
          <w:p>
            <w:pPr>
              <w:ind w:left="20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89,499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66,981</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49,648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6,934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2,583</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1,466</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4,103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221,214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6"/>
                <w:szCs w:val="16"/>
                <w:color w:val="auto"/>
              </w:rPr>
              <w:t>Commercial and industrial</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Pass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149,734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390,687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80" w:type="dxa"/>
            <w:vAlign w:val="bottom"/>
          </w:tcPr>
          <w:p>
            <w:pPr>
              <w:ind w:left="200"/>
              <w:spacing w:after="0"/>
              <w:rPr>
                <w:sz w:val="20"/>
                <w:szCs w:val="20"/>
                <w:color w:val="auto"/>
              </w:rPr>
            </w:pPr>
            <w:r>
              <w:rPr>
                <w:rFonts w:ascii="Arial" w:cs="Arial" w:eastAsia="Arial" w:hAnsi="Arial"/>
                <w:sz w:val="16"/>
                <w:szCs w:val="16"/>
                <w:color w:val="auto"/>
              </w:rPr>
              <w:t>Special Mention</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Substandard</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tcPr>
          <w:p>
            <w:pPr>
              <w:ind w:left="10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121,540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53,009</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27,667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21,850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16,092</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2,769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149,897</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392,824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6"/>
                <w:szCs w:val="16"/>
                <w:color w:val="auto"/>
              </w:rPr>
              <w:t>Tax-exempt</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Pass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80" w:type="dxa"/>
            <w:vAlign w:val="bottom"/>
          </w:tcPr>
          <w:p>
            <w:pPr>
              <w:ind w:left="200"/>
              <w:spacing w:after="0"/>
              <w:rPr>
                <w:sz w:val="20"/>
                <w:szCs w:val="20"/>
                <w:color w:val="auto"/>
              </w:rPr>
            </w:pPr>
            <w:r>
              <w:rPr>
                <w:rFonts w:ascii="Arial" w:cs="Arial" w:eastAsia="Arial" w:hAnsi="Arial"/>
                <w:sz w:val="16"/>
                <w:szCs w:val="16"/>
                <w:color w:val="auto"/>
              </w:rPr>
              <w:t>Special Mention</w:t>
            </w: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Substandard</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tcPr>
          <w:p>
            <w:pPr>
              <w:ind w:left="10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2,481</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13,731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6,036</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33,106</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6"/>
                <w:szCs w:val="16"/>
                <w:color w:val="auto"/>
              </w:rPr>
              <w:t>Consumer</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Pass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27,977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80" w:type="dxa"/>
            <w:vAlign w:val="bottom"/>
          </w:tcPr>
          <w:p>
            <w:pPr>
              <w:ind w:left="200"/>
              <w:spacing w:after="0"/>
              <w:rPr>
                <w:sz w:val="20"/>
                <w:szCs w:val="20"/>
                <w:color w:val="auto"/>
              </w:rPr>
            </w:pPr>
            <w:r>
              <w:rPr>
                <w:rFonts w:ascii="Arial" w:cs="Arial" w:eastAsia="Arial" w:hAnsi="Arial"/>
                <w:sz w:val="16"/>
                <w:szCs w:val="16"/>
                <w:color w:val="auto"/>
              </w:rPr>
              <w:t>Special Mention</w:t>
            </w: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Substandard</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tcPr>
          <w:p>
            <w:pPr>
              <w:ind w:left="10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13,697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5,504</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3,687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1,586</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3,050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ind w:left="200"/>
              <w:spacing w:after="0"/>
              <w:rPr>
                <w:sz w:val="20"/>
                <w:szCs w:val="20"/>
                <w:color w:val="auto"/>
              </w:rPr>
            </w:pPr>
            <w:r>
              <w:rPr>
                <w:rFonts w:ascii="Arial" w:cs="Arial" w:eastAsia="Arial" w:hAnsi="Arial"/>
                <w:sz w:val="16"/>
                <w:szCs w:val="16"/>
                <w:color w:val="auto"/>
              </w:rPr>
              <w:t>Total loans HFI</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508,235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344,693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261,310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359,656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309,460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265,900</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199,415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2,248,669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ind w:left="60"/>
              <w:spacing w:after="0"/>
              <w:rPr>
                <w:sz w:val="20"/>
                <w:szCs w:val="20"/>
                <w:color w:val="auto"/>
              </w:rPr>
            </w:pPr>
            <w:r>
              <w:rPr>
                <w:rFonts w:ascii="Arial" w:cs="Arial" w:eastAsia="Arial" w:hAnsi="Arial"/>
                <w:sz w:val="16"/>
                <w:szCs w:val="16"/>
                <w:color w:val="auto"/>
              </w:rPr>
              <w:t>Gross charge-offs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Commitments to Extend Credit</w:t>
      </w:r>
    </w:p>
    <w:p>
      <w:pPr>
        <w:spacing w:after="0" w:line="125"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Commitments to extend credit are agreements to lend to a customer if all conditions of the commitment have been met. Commitments generally have fixed expiration dates or other termination clauses and may require the payment of a fee. Since many of the commitments are expected to expire without being drawn upon, the total commitment amounts do not necessarily represent future cash requirements. The Company evaluates each customer’s creditworthiness on a case-by-case basis. The amount of collateral obtained, if it is deemed necessary by the Company upon extension of credit, is based on management’s evaluation of the customer’s ability to repay. As of March 31, 2026 and December 31, 2025, unfunded loan commitments totaled approximately $541.0 million and $545.7 million, respectively.</w:t>
      </w:r>
    </w:p>
    <w:p>
      <w:pPr>
        <w:spacing w:after="0" w:line="95"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Standby letters of credit are conditional commitments issued by the Company to guarantee the performance of a customer to a third party. Those guarantees are primarily issued to support public and private borrowing arrangements, including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commercial paper, bond financing, and similar transactions. As of March 31, 2026 and December 31, 2025, commitments under standby letters of credit totaled approximately $14.7 million and $14.5 million, respectively. The credit risk involved in issuing letters of credit is essentially the same as that involved in extending loan facilities to customers.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Company estimates expected credit losses for unfunded commitments over the contractual period in which the Company is exposed to credit risk through a contractual obligation to extend credit, unless that obligation is unconditionally cancellable by the Company. The reserve for unfunded commitments is recorded within accrued expenses and other liabilities on the consolidated balance sheets, and the related provision is recorded in provision for credit losses on the consolidated statements of income. The estimate includes consideration of the likelihood that funding will occur and an estimate of expected credit losses on commitments expected to be funded over its estimated life. The loss rates computed for each pool and expected pool-level funding rates are applied to the related unfunded commitment balance to obtain the reserve amount. As of March 31, 2026 and December 31, 2025, the reserve on unfunded commitments was $642,000.</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reserve for unfunded commitments for the periods indicated:</w:t>
      </w:r>
    </w:p>
    <w:p>
      <w:pPr>
        <w:spacing w:after="0" w:line="181" w:lineRule="exact"/>
        <w:rPr>
          <w:sz w:val="20"/>
          <w:szCs w:val="20"/>
          <w:color w:val="auto"/>
        </w:rPr>
      </w:pPr>
    </w:p>
    <w:p>
      <w:pPr>
        <w:ind w:left="7660"/>
        <w:spacing w:after="0"/>
        <w:rPr>
          <w:sz w:val="20"/>
          <w:szCs w:val="20"/>
          <w:color w:val="auto"/>
        </w:rPr>
      </w:pPr>
      <w:r>
        <w:rPr>
          <w:rFonts w:ascii="Arial" w:cs="Arial" w:eastAsia="Arial" w:hAnsi="Arial"/>
          <w:sz w:val="16"/>
          <w:szCs w:val="16"/>
          <w:b w:val="1"/>
          <w:bCs w:val="1"/>
          <w:color w:val="auto"/>
        </w:rPr>
        <w:t>As of and For the Three Months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March 31, 2026</w:t>
            </w:r>
          </w:p>
        </w:tc>
        <w:tc>
          <w:tcPr>
            <w:tcW w:w="3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March 31, 2025</w:t>
            </w:r>
          </w:p>
        </w:tc>
      </w:tr>
      <w:tr>
        <w:trPr>
          <w:trHeight w:val="209"/>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Reserve for unfunded commitments at beginning of period</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w:t>
            </w:r>
          </w:p>
        </w:tc>
      </w:tr>
      <w:tr>
        <w:trPr>
          <w:trHeight w:val="215"/>
        </w:trPr>
        <w:tc>
          <w:tcPr>
            <w:tcW w:w="7060" w:type="dxa"/>
            <w:vAlign w:val="bottom"/>
          </w:tcPr>
          <w:p>
            <w:pPr>
              <w:ind w:left="140"/>
              <w:spacing w:after="0"/>
              <w:rPr>
                <w:sz w:val="20"/>
                <w:szCs w:val="20"/>
                <w:color w:val="auto"/>
              </w:rPr>
            </w:pPr>
            <w:r>
              <w:rPr>
                <w:rFonts w:ascii="Arial" w:cs="Arial" w:eastAsia="Arial" w:hAnsi="Arial"/>
                <w:sz w:val="16"/>
                <w:szCs w:val="16"/>
                <w:color w:val="auto"/>
              </w:rPr>
              <w:t>Provision for credit losses</w:t>
            </w:r>
          </w:p>
        </w:tc>
        <w:tc>
          <w:tcPr>
            <w:tcW w:w="280" w:type="dxa"/>
            <w:vAlign w:val="bottom"/>
          </w:tcPr>
          <w:p>
            <w:pPr>
              <w:spacing w:after="0"/>
              <w:rPr>
                <w:sz w:val="18"/>
                <w:szCs w:val="18"/>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Reserve for unfunded commitments at end of period</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Deposits</w:t>
      </w:r>
    </w:p>
    <w:p>
      <w:pPr>
        <w:spacing w:after="0" w:line="127"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Deposits were $2.95 billion and $2.96 billion as of March 31, 2026 and December 31, 2025, respectively. The $17.5 million decrease was primarily due to the seasonal outflow of funds from public entity customers exceeding increased commercial deposits. Deposits are summarized below:</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8"/>
                <w:szCs w:val="18"/>
                <w:color w:val="auto"/>
              </w:rPr>
            </w:pPr>
          </w:p>
        </w:tc>
        <w:tc>
          <w:tcPr>
            <w:tcW w:w="19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2026</w:t>
            </w:r>
          </w:p>
        </w:tc>
        <w:tc>
          <w:tcPr>
            <w:tcW w:w="220" w:type="dxa"/>
            <w:vAlign w:val="bottom"/>
          </w:tcPr>
          <w:p>
            <w:pPr>
              <w:spacing w:after="0"/>
              <w:rPr>
                <w:sz w:val="18"/>
                <w:szCs w:val="18"/>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2025</w:t>
            </w:r>
          </w:p>
        </w:tc>
      </w:tr>
      <w:tr>
        <w:trPr>
          <w:trHeight w:val="210"/>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Noninterest-bearing demand deposits</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916,413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913,868</w:t>
            </w:r>
          </w:p>
        </w:tc>
      </w:tr>
      <w:tr>
        <w:trPr>
          <w:trHeight w:val="215"/>
        </w:trPr>
        <w:tc>
          <w:tcPr>
            <w:tcW w:w="6940" w:type="dxa"/>
            <w:vAlign w:val="bottom"/>
          </w:tcPr>
          <w:p>
            <w:pPr>
              <w:ind w:left="20"/>
              <w:spacing w:after="0"/>
              <w:rPr>
                <w:sz w:val="20"/>
                <w:szCs w:val="20"/>
                <w:color w:val="auto"/>
              </w:rPr>
            </w:pPr>
            <w:r>
              <w:rPr>
                <w:rFonts w:ascii="Arial" w:cs="Arial" w:eastAsia="Arial" w:hAnsi="Arial"/>
                <w:sz w:val="16"/>
                <w:szCs w:val="16"/>
                <w:color w:val="auto"/>
              </w:rPr>
              <w:t>Interest-bearing deposits:</w:t>
            </w: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7"/>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Interest-bearing demand deposits</w:t>
            </w:r>
          </w:p>
        </w:tc>
        <w:tc>
          <w:tcPr>
            <w:tcW w:w="3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189,993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198,724</w:t>
            </w:r>
          </w:p>
        </w:tc>
      </w:tr>
      <w:tr>
        <w:trPr>
          <w:trHeight w:val="215"/>
        </w:trPr>
        <w:tc>
          <w:tcPr>
            <w:tcW w:w="6940" w:type="dxa"/>
            <w:vAlign w:val="bottom"/>
          </w:tcPr>
          <w:p>
            <w:pPr>
              <w:ind w:left="140"/>
              <w:spacing w:after="0"/>
              <w:rPr>
                <w:sz w:val="20"/>
                <w:szCs w:val="20"/>
                <w:color w:val="auto"/>
              </w:rPr>
            </w:pPr>
            <w:r>
              <w:rPr>
                <w:rFonts w:ascii="Arial" w:cs="Arial" w:eastAsia="Arial" w:hAnsi="Arial"/>
                <w:sz w:val="16"/>
                <w:szCs w:val="16"/>
                <w:color w:val="auto"/>
              </w:rPr>
              <w:t>NOW accounts</w:t>
            </w:r>
          </w:p>
        </w:tc>
        <w:tc>
          <w:tcPr>
            <w:tcW w:w="3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465,146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490,376</w:t>
            </w:r>
          </w:p>
        </w:tc>
      </w:tr>
      <w:tr>
        <w:trPr>
          <w:trHeight w:val="217"/>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Money market accounts</w:t>
            </w:r>
          </w:p>
        </w:tc>
        <w:tc>
          <w:tcPr>
            <w:tcW w:w="3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590,107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580,949</w:t>
            </w:r>
          </w:p>
        </w:tc>
      </w:tr>
      <w:tr>
        <w:trPr>
          <w:trHeight w:val="215"/>
        </w:trPr>
        <w:tc>
          <w:tcPr>
            <w:tcW w:w="6940" w:type="dxa"/>
            <w:vAlign w:val="bottom"/>
          </w:tcPr>
          <w:p>
            <w:pPr>
              <w:ind w:left="140"/>
              <w:spacing w:after="0"/>
              <w:rPr>
                <w:sz w:val="20"/>
                <w:szCs w:val="20"/>
                <w:color w:val="auto"/>
              </w:rPr>
            </w:pPr>
            <w:r>
              <w:rPr>
                <w:rFonts w:ascii="Arial" w:cs="Arial" w:eastAsia="Arial" w:hAnsi="Arial"/>
                <w:sz w:val="16"/>
                <w:szCs w:val="16"/>
                <w:color w:val="auto"/>
              </w:rPr>
              <w:t>Savings accounts</w:t>
            </w:r>
          </w:p>
        </w:tc>
        <w:tc>
          <w:tcPr>
            <w:tcW w:w="3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174,393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168,889</w:t>
            </w:r>
          </w:p>
        </w:tc>
      </w:tr>
      <w:tr>
        <w:trPr>
          <w:trHeight w:val="217"/>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Time deposits less than or equal to $250,000</w:t>
            </w:r>
          </w:p>
        </w:tc>
        <w:tc>
          <w:tcPr>
            <w:tcW w:w="3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405,281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407,539</w:t>
            </w:r>
          </w:p>
        </w:tc>
      </w:tr>
      <w:tr>
        <w:trPr>
          <w:trHeight w:val="215"/>
        </w:trPr>
        <w:tc>
          <w:tcPr>
            <w:tcW w:w="6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Time deposits greater than $250,000</w:t>
            </w: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204,602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203,067</w:t>
            </w:r>
          </w:p>
        </w:tc>
      </w:tr>
      <w:tr>
        <w:trPr>
          <w:trHeight w:val="210"/>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interest-bearing deposits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2,029,522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2,049,544</w:t>
            </w:r>
          </w:p>
        </w:tc>
      </w:tr>
      <w:tr>
        <w:trPr>
          <w:trHeight w:val="210"/>
        </w:trPr>
        <w:tc>
          <w:tcPr>
            <w:tcW w:w="6940" w:type="dxa"/>
            <w:vAlign w:val="bottom"/>
          </w:tcPr>
          <w:p>
            <w:pPr>
              <w:ind w:left="20"/>
              <w:spacing w:after="0"/>
              <w:rPr>
                <w:sz w:val="20"/>
                <w:szCs w:val="20"/>
                <w:color w:val="auto"/>
              </w:rPr>
            </w:pPr>
            <w:r>
              <w:rPr>
                <w:rFonts w:ascii="Arial" w:cs="Arial" w:eastAsia="Arial" w:hAnsi="Arial"/>
                <w:sz w:val="16"/>
                <w:szCs w:val="16"/>
                <w:color w:val="auto"/>
              </w:rPr>
              <w:t>Total deposits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2,945,935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2,963,412</w:t>
            </w:r>
          </w:p>
        </w:tc>
      </w:tr>
      <w:tr>
        <w:trPr>
          <w:trHeight w:val="21"/>
        </w:trPr>
        <w:tc>
          <w:tcPr>
            <w:tcW w:w="6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Collateral for Deposits</w:t>
      </w:r>
    </w:p>
    <w:p>
      <w:pPr>
        <w:spacing w:after="0" w:line="138" w:lineRule="exact"/>
        <w:rPr>
          <w:sz w:val="20"/>
          <w:szCs w:val="20"/>
          <w:color w:val="auto"/>
        </w:rPr>
      </w:pPr>
    </w:p>
    <w:p>
      <w:pPr>
        <w:ind w:right="720"/>
        <w:spacing w:after="0" w:line="304" w:lineRule="auto"/>
        <w:rPr>
          <w:sz w:val="20"/>
          <w:szCs w:val="20"/>
          <w:color w:val="auto"/>
        </w:rPr>
      </w:pPr>
      <w:r>
        <w:rPr>
          <w:rFonts w:ascii="Arial" w:cs="Arial" w:eastAsia="Arial" w:hAnsi="Arial"/>
          <w:sz w:val="16"/>
          <w:szCs w:val="16"/>
          <w:color w:val="auto"/>
        </w:rPr>
        <w:t>As of March 31, 2026 and December 31, 2025, securities and FHLB letters of credit with values of approximately $210.6 million and $302.4 million, respectively, were pledged as collateral to secure public entity deposits.</w:t>
      </w:r>
    </w:p>
    <w:p>
      <w:pPr>
        <w:spacing w:after="0" w:line="47"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Other Borrowed Funds</w:t>
      </w:r>
    </w:p>
    <w:p>
      <w:pPr>
        <w:spacing w:after="0" w:line="140"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The Company has established borrowing capacity with the FHLB, the Federal Reserve Bank’s Discount Window facility, and other correspondent banks to provide additional sources of operating funds. As of March 31, 2026 and December 31, 2025, the Company had no outstanding borrowings under these agreements.</w:t>
      </w:r>
    </w:p>
    <w:p>
      <w:pPr>
        <w:spacing w:after="0" w:line="70"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Contingencies</w:t>
      </w:r>
    </w:p>
    <w:p>
      <w:pPr>
        <w:spacing w:after="0" w:line="140"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The Company and the Bank are involved, from time to time, in various legal matters arising in the ordinary course of business. While the outcome of these claims or litigation cannot be determined at this time, in the opinion of management, neither the Company nor the Bank are involved in such legal proceedings that the resolution is expected to have a material adverse effect on the consolidated results of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w:t>
      </w:r>
    </w:p>
    <w:p>
      <w:pPr>
        <w:spacing w:after="0" w:line="140"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Company uses fair value measurements to record fair value adjustments to certain assets and liabilities and to determine fair value disclosures. The fair value of a financial instrument is the price that would be received to sell an asset or paid to transfer a liability in an orderly transaction between market participants at the measurement date.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Fair Value Disclosure</w:t>
      </w:r>
    </w:p>
    <w:p>
      <w:pPr>
        <w:spacing w:after="0" w:line="125"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Securities AFS, loans HFS, and equity securities are recorded at fair value on a recurring basis. Additionally, the Company may be required to record at fair value other assets on a nonrecurring basis, such as collateral dependent loans, foreclosed assets, and certain other assets. The nonrecurring fair value adjustments typically involve application of lower of cost or market accounting or write-downs of individual assets.</w:t>
      </w:r>
    </w:p>
    <w:p>
      <w:pPr>
        <w:spacing w:after="0" w:line="83"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i w:val="1"/>
          <w:iCs w:val="1"/>
          <w:color w:val="auto"/>
        </w:rPr>
        <w:t xml:space="preserve">ASC 820, Fair Value Measurements and Disclosures </w:t>
      </w:r>
      <w:r>
        <w:rPr>
          <w:rFonts w:ascii="Arial" w:cs="Arial" w:eastAsia="Arial" w:hAnsi="Arial"/>
          <w:sz w:val="16"/>
          <w:szCs w:val="16"/>
          <w:color w:val="auto"/>
        </w:rPr>
        <w:t>indicates that assets and liabilities are recorded at fair value according to a fair value hierarchy</w:t>
      </w:r>
      <w:r>
        <w:rPr>
          <w:rFonts w:ascii="Arial" w:cs="Arial" w:eastAsia="Arial" w:hAnsi="Arial"/>
          <w:sz w:val="16"/>
          <w:szCs w:val="16"/>
          <w:i w:val="1"/>
          <w:iCs w:val="1"/>
          <w:color w:val="auto"/>
        </w:rPr>
        <w:t xml:space="preserve"> </w:t>
      </w:r>
      <w:r>
        <w:rPr>
          <w:rFonts w:ascii="Arial" w:cs="Arial" w:eastAsia="Arial" w:hAnsi="Arial"/>
          <w:sz w:val="16"/>
          <w:szCs w:val="16"/>
          <w:color w:val="auto"/>
        </w:rPr>
        <w:t>comprised of three levels:</w:t>
      </w:r>
    </w:p>
    <w:p>
      <w:pPr>
        <w:spacing w:after="0" w:line="75" w:lineRule="exact"/>
        <w:rPr>
          <w:sz w:val="20"/>
          <w:szCs w:val="20"/>
          <w:color w:val="auto"/>
        </w:rPr>
      </w:pPr>
    </w:p>
    <w:p>
      <w:pPr>
        <w:ind w:left="660" w:right="280" w:hanging="328"/>
        <w:spacing w:after="0" w:line="286"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1 pricing represents quotes on the exact financial instrument that is traded in active markets. Quoted prices on actively traded equities, for example, are in this category.</w:t>
      </w:r>
    </w:p>
    <w:p>
      <w:pPr>
        <w:spacing w:after="0" w:line="74" w:lineRule="exact"/>
        <w:rPr>
          <w:rFonts w:ascii="Arial" w:cs="Arial" w:eastAsia="Arial" w:hAnsi="Arial"/>
          <w:sz w:val="16"/>
          <w:szCs w:val="16"/>
          <w:color w:val="auto"/>
        </w:rPr>
      </w:pPr>
    </w:p>
    <w:p>
      <w:pPr>
        <w:ind w:left="660" w:right="380" w:hanging="328"/>
        <w:spacing w:after="0" w:line="275"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2 pricing is derived from observable data including market spreads, current and projected rates, prepayment data, and credit quality. The valuation may be based on quoted prices for similar assets or liabilities, quoted prices in markets that are not active, or other inputs that are observable or can be corroborated by observable market data.</w:t>
      </w:r>
    </w:p>
    <w:p>
      <w:pPr>
        <w:spacing w:after="0" w:line="69" w:lineRule="exact"/>
        <w:rPr>
          <w:rFonts w:ascii="Arial" w:cs="Arial" w:eastAsia="Arial" w:hAnsi="Arial"/>
          <w:sz w:val="16"/>
          <w:szCs w:val="16"/>
          <w:color w:val="auto"/>
        </w:rPr>
      </w:pPr>
    </w:p>
    <w:p>
      <w:pPr>
        <w:ind w:left="660" w:right="80" w:hanging="328"/>
        <w:spacing w:after="0" w:line="304"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3 pricing is derived without the use of observable data. In such cases, mark-to-model strategies are typically employed. Often, these types of instruments have no active market, possess unique characteristics, and are thinly traded.</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used the following methods and significant assumptions to estimate fair value:</w:t>
      </w:r>
    </w:p>
    <w:p>
      <w:pPr>
        <w:spacing w:after="0" w:line="127" w:lineRule="exact"/>
        <w:rPr>
          <w:sz w:val="20"/>
          <w:szCs w:val="20"/>
          <w:color w:val="auto"/>
        </w:rPr>
      </w:pPr>
    </w:p>
    <w:p>
      <w:pPr>
        <w:spacing w:after="0" w:line="275" w:lineRule="auto"/>
        <w:rPr>
          <w:sz w:val="20"/>
          <w:szCs w:val="20"/>
          <w:color w:val="auto"/>
        </w:rPr>
      </w:pPr>
      <w:r>
        <w:rPr>
          <w:rFonts w:ascii="Arial" w:cs="Arial" w:eastAsia="Arial" w:hAnsi="Arial"/>
          <w:sz w:val="16"/>
          <w:szCs w:val="16"/>
          <w:i w:val="1"/>
          <w:iCs w:val="1"/>
          <w:color w:val="auto"/>
        </w:rPr>
        <w:t xml:space="preserve">Securities AFS and Equity Securities: </w:t>
      </w:r>
      <w:r>
        <w:rPr>
          <w:rFonts w:ascii="Arial" w:cs="Arial" w:eastAsia="Arial" w:hAnsi="Arial"/>
          <w:sz w:val="16"/>
          <w:szCs w:val="16"/>
          <w:color w:val="auto"/>
        </w:rPr>
        <w:t>The fair values for securities AFS are determined by quoted market prices, if available (Level 1). For securities where</w:t>
      </w:r>
      <w:r>
        <w:rPr>
          <w:rFonts w:ascii="Arial" w:cs="Arial" w:eastAsia="Arial" w:hAnsi="Arial"/>
          <w:sz w:val="16"/>
          <w:szCs w:val="16"/>
          <w:i w:val="1"/>
          <w:iCs w:val="1"/>
          <w:color w:val="auto"/>
        </w:rPr>
        <w:t xml:space="preserve"> </w:t>
      </w:r>
      <w:r>
        <w:rPr>
          <w:rFonts w:ascii="Arial" w:cs="Arial" w:eastAsia="Arial" w:hAnsi="Arial"/>
          <w:sz w:val="16"/>
          <w:szCs w:val="16"/>
          <w:color w:val="auto"/>
        </w:rPr>
        <w:t>quoted prices are not available, fair values are calculated based on market prices of similar securities (Level 2). For securities where quoted prices or market prices of similar securities are not available, fair values are calculated using discounted cash flows or other market indicators (Level 3).</w:t>
      </w:r>
    </w:p>
    <w:p>
      <w:pPr>
        <w:spacing w:after="0" w:line="83"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i w:val="1"/>
          <w:iCs w:val="1"/>
          <w:color w:val="auto"/>
        </w:rPr>
        <w:t xml:space="preserve">Loans HFS: </w:t>
      </w:r>
      <w:r>
        <w:rPr>
          <w:rFonts w:ascii="Arial" w:cs="Arial" w:eastAsia="Arial" w:hAnsi="Arial"/>
          <w:sz w:val="16"/>
          <w:szCs w:val="16"/>
          <w:color w:val="auto"/>
        </w:rPr>
        <w:t>Residential mortgage loans originated and held for sale are carried at the lower of cost or estimated fair value on an individual basis. The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values of mortgage loans HFS are based on commitments on hand from investors within the secondary market for loans with similar characteristics. As such, the fair value adjustments for mortgage loans HFS are recurring Level 2.</w:t>
      </w:r>
    </w:p>
    <w:p>
      <w:pPr>
        <w:spacing w:after="0" w:line="70"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i w:val="1"/>
          <w:iCs w:val="1"/>
          <w:color w:val="auto"/>
        </w:rPr>
        <w:t xml:space="preserve">Loans HFI: </w:t>
      </w:r>
      <w:r>
        <w:rPr>
          <w:rFonts w:ascii="Arial" w:cs="Arial" w:eastAsia="Arial" w:hAnsi="Arial"/>
          <w:sz w:val="16"/>
          <w:szCs w:val="16"/>
          <w:color w:val="auto"/>
        </w:rPr>
        <w:t>The Company does not record loans HFI at fair value on a recurring basis. Loans for which it was probable that payment of interest and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will not be made in accordance with the contractual terms of the loan agreement are evaluated individually to determine if any credit loss exists. For loans evaluated on an individual basis that are collateral dependent, the fair value is estimated by applying a discount factor to the collateral value then deducting the estimated cost to sell. For loans evaluated on an individual basis that are not collateral dependent, the discounted cash flow method is utilized to determine the fair value. When a loan experiences a credit loss with specific allocated losses determined by the fair value method, the Company considers the collateral dependent loan as nonrecurring Level 3.</w:t>
      </w:r>
    </w:p>
    <w:p>
      <w:pPr>
        <w:spacing w:after="0" w:line="95"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i w:val="1"/>
          <w:iCs w:val="1"/>
          <w:color w:val="auto"/>
        </w:rPr>
        <w:t xml:space="preserve">Foreclosed Assets: </w:t>
      </w:r>
      <w:r>
        <w:rPr>
          <w:rFonts w:ascii="Arial" w:cs="Arial" w:eastAsia="Arial" w:hAnsi="Arial"/>
          <w:sz w:val="16"/>
          <w:szCs w:val="16"/>
          <w:color w:val="auto"/>
        </w:rPr>
        <w:t>Foreclosed assets, consisting of properties obtained through foreclosure or in satisfaction of loans, are reported at fair value, determined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 basis of current appraisals, comparable sales, and other estimates of value obtained principally from independent sources, adjusted for estimated selling costs (Level 2). However, foreclosed assets are considered Level 3 in the fair value hierarchy because management has qualitatively applied a discount due to the size, supply of inventory, and the incremental discounts applied to the appraisals. Management also considers other factors, including changes in absorption rates, length of time the property has been on the market, and anticipated sales values, which have resulted in adjustments to the collateral value estimates indicated in certain appraisals.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tcBorders>
              <w:bottom w:val="single" w:sz="8" w:color="auto"/>
            </w:tcBorders>
            <w:gridSpan w:val="4"/>
          </w:tcPr>
          <w:p>
            <w:pPr>
              <w:spacing w:after="0"/>
              <w:rPr>
                <w:sz w:val="20"/>
                <w:szCs w:val="20"/>
                <w:color w:val="auto"/>
              </w:rPr>
            </w:pPr>
            <w:r>
              <w:rPr>
                <w:rFonts w:ascii="Arial" w:cs="Arial" w:eastAsia="Arial" w:hAnsi="Arial"/>
                <w:sz w:val="16"/>
                <w:szCs w:val="16"/>
                <w:i w:val="1"/>
                <w:iCs w:val="1"/>
                <w:color w:val="auto"/>
              </w:rPr>
              <w:t>Fair Value of Assets Measured on a Recurring Basis</w:t>
            </w: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43"/>
        </w:trPr>
        <w:tc>
          <w:tcPr>
            <w:tcW w:w="8180" w:type="dxa"/>
            <w:vAlign w:val="bottom"/>
            <w:gridSpan w:val="11"/>
          </w:tcPr>
          <w:p>
            <w:pPr>
              <w:spacing w:after="0"/>
              <w:rPr>
                <w:sz w:val="20"/>
                <w:szCs w:val="20"/>
                <w:color w:val="auto"/>
              </w:rPr>
            </w:pPr>
            <w:r>
              <w:rPr>
                <w:rFonts w:ascii="Arial" w:cs="Arial" w:eastAsia="Arial" w:hAnsi="Arial"/>
                <w:sz w:val="16"/>
                <w:szCs w:val="16"/>
                <w:color w:val="auto"/>
              </w:rPr>
              <w:t>The table below presents the recorded amount of assets measured at fair value on a recurring basis:</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67"/>
        </w:trPr>
        <w:tc>
          <w:tcPr>
            <w:tcW w:w="20" w:type="dxa"/>
            <w:vAlign w:val="bottom"/>
          </w:tcPr>
          <w:p>
            <w:pPr>
              <w:spacing w:after="0"/>
              <w:rPr>
                <w:sz w:val="24"/>
                <w:szCs w:val="24"/>
                <w:color w:val="auto"/>
              </w:rPr>
            </w:pPr>
          </w:p>
        </w:tc>
        <w:tc>
          <w:tcPr>
            <w:tcW w:w="3740" w:type="dxa"/>
            <w:vAlign w:val="bottom"/>
            <w:gridSpan w:val="3"/>
          </w:tcPr>
          <w:p>
            <w:pPr>
              <w:spacing w:after="0"/>
              <w:rPr>
                <w:sz w:val="20"/>
                <w:szCs w:val="20"/>
                <w:color w:val="auto"/>
              </w:rPr>
            </w:pPr>
            <w:r>
              <w:rPr>
                <w:rFonts w:ascii="Arial" w:cs="Arial" w:eastAsia="Arial" w:hAnsi="Arial"/>
                <w:sz w:val="16"/>
                <w:szCs w:val="16"/>
                <w:i w:val="1"/>
                <w:iCs w:val="1"/>
                <w:color w:val="auto"/>
              </w:rPr>
              <w:t>(in thousands)</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Fair Value</w:t>
            </w:r>
          </w:p>
        </w:tc>
        <w:tc>
          <w:tcPr>
            <w:tcW w:w="280" w:type="dxa"/>
            <w:vAlign w:val="bottom"/>
          </w:tcPr>
          <w:p>
            <w:pPr>
              <w:spacing w:after="0"/>
              <w:rPr>
                <w:sz w:val="24"/>
                <w:szCs w:val="24"/>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24"/>
                <w:szCs w:val="24"/>
                <w:color w:val="auto"/>
              </w:rPr>
            </w:pPr>
          </w:p>
        </w:tc>
        <w:tc>
          <w:tcPr>
            <w:tcW w:w="1180" w:type="dxa"/>
            <w:vAlign w:val="bottom"/>
          </w:tcPr>
          <w:p>
            <w:pPr>
              <w:ind w:left="160"/>
              <w:spacing w:after="0"/>
              <w:rPr>
                <w:sz w:val="20"/>
                <w:szCs w:val="20"/>
                <w:color w:val="auto"/>
              </w:rPr>
            </w:pPr>
            <w:r>
              <w:rPr>
                <w:rFonts w:ascii="Arial" w:cs="Arial" w:eastAsia="Arial" w:hAnsi="Arial"/>
                <w:sz w:val="16"/>
                <w:szCs w:val="16"/>
                <w:b w:val="1"/>
                <w:bCs w:val="1"/>
                <w:color w:val="auto"/>
              </w:rPr>
              <w:t>Level 3</w:t>
            </w: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CCEEFF"/>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March 31, 2026</w:t>
            </w:r>
          </w:p>
        </w:tc>
        <w:tc>
          <w:tcPr>
            <w:tcW w:w="26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3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2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3740" w:type="dxa"/>
            <w:vAlign w:val="bottom"/>
            <w:gridSpan w:val="3"/>
          </w:tcPr>
          <w:p>
            <w:pPr>
              <w:ind w:left="200"/>
              <w:spacing w:after="0"/>
              <w:rPr>
                <w:sz w:val="20"/>
                <w:szCs w:val="20"/>
                <w:color w:val="auto"/>
              </w:rPr>
            </w:pPr>
            <w:r>
              <w:rPr>
                <w:rFonts w:ascii="Arial" w:cs="Arial" w:eastAsia="Arial" w:hAnsi="Arial"/>
                <w:sz w:val="16"/>
                <w:szCs w:val="16"/>
                <w:color w:val="auto"/>
              </w:rPr>
              <w:t>Loans HFS</w:t>
            </w: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3,951</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3,951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ind w:left="940"/>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CCEEFF"/>
          </w:tcPr>
          <w:p>
            <w:pPr>
              <w:spacing w:after="0"/>
              <w:rPr>
                <w:sz w:val="18"/>
                <w:szCs w:val="18"/>
                <w:color w:val="auto"/>
              </w:rPr>
            </w:pPr>
          </w:p>
        </w:tc>
        <w:tc>
          <w:tcPr>
            <w:tcW w:w="374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Securities AFS:</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740" w:type="dxa"/>
            <w:vAlign w:val="bottom"/>
            <w:gridSpan w:val="3"/>
          </w:tcPr>
          <w:p>
            <w:pPr>
              <w:ind w:left="460"/>
              <w:spacing w:after="0"/>
              <w:rPr>
                <w:sz w:val="20"/>
                <w:szCs w:val="20"/>
                <w:color w:val="auto"/>
              </w:rPr>
            </w:pPr>
            <w:r>
              <w:rPr>
                <w:rFonts w:ascii="Arial" w:cs="Arial" w:eastAsia="Arial" w:hAnsi="Arial"/>
                <w:sz w:val="16"/>
                <w:szCs w:val="16"/>
                <w:color w:val="auto"/>
              </w:rPr>
              <w:t>Mortgage-backed securities</w:t>
            </w: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409,512</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409,512</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ind w:left="940"/>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CCEEFF"/>
          </w:tcPr>
          <w:p>
            <w:pPr>
              <w:spacing w:after="0"/>
              <w:rPr>
                <w:sz w:val="18"/>
                <w:szCs w:val="18"/>
                <w:color w:val="auto"/>
              </w:rPr>
            </w:pPr>
          </w:p>
        </w:tc>
        <w:tc>
          <w:tcPr>
            <w:tcW w:w="3740" w:type="dxa"/>
            <w:vAlign w:val="bottom"/>
            <w:gridSpan w:val="3"/>
            <w:shd w:val="clear" w:color="auto" w:fill="CCEEFF"/>
          </w:tcPr>
          <w:p>
            <w:pPr>
              <w:ind w:left="460"/>
              <w:spacing w:after="0"/>
              <w:rPr>
                <w:sz w:val="20"/>
                <w:szCs w:val="20"/>
                <w:color w:val="auto"/>
              </w:rPr>
            </w:pPr>
            <w:r>
              <w:rPr>
                <w:rFonts w:ascii="Arial" w:cs="Arial" w:eastAsia="Arial" w:hAnsi="Arial"/>
                <w:sz w:val="16"/>
                <w:szCs w:val="16"/>
                <w:color w:val="auto"/>
              </w:rPr>
              <w:t>Municipal bonds</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r>
      <w:tr>
        <w:trPr>
          <w:trHeight w:val="215"/>
        </w:trPr>
        <w:tc>
          <w:tcPr>
            <w:tcW w:w="20" w:type="dxa"/>
            <w:vAlign w:val="bottom"/>
          </w:tcPr>
          <w:p>
            <w:pPr>
              <w:spacing w:after="0"/>
              <w:rPr>
                <w:sz w:val="18"/>
                <w:szCs w:val="18"/>
                <w:color w:val="auto"/>
              </w:rPr>
            </w:pPr>
          </w:p>
        </w:tc>
        <w:tc>
          <w:tcPr>
            <w:tcW w:w="3740" w:type="dxa"/>
            <w:vAlign w:val="bottom"/>
            <w:gridSpan w:val="3"/>
          </w:tcPr>
          <w:p>
            <w:pPr>
              <w:ind w:left="460"/>
              <w:spacing w:after="0"/>
              <w:rPr>
                <w:sz w:val="20"/>
                <w:szCs w:val="20"/>
                <w:color w:val="auto"/>
              </w:rPr>
            </w:pPr>
            <w:r>
              <w:rPr>
                <w:rFonts w:ascii="Arial" w:cs="Arial" w:eastAsia="Arial" w:hAnsi="Arial"/>
                <w:sz w:val="16"/>
                <w:szCs w:val="16"/>
                <w:color w:val="auto"/>
              </w:rPr>
              <w:t>U.S. agency securities</w:t>
            </w: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61,828</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61,828</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ind w:left="940"/>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CCEEFF"/>
          </w:tcPr>
          <w:p>
            <w:pPr>
              <w:spacing w:after="0"/>
              <w:rPr>
                <w:sz w:val="18"/>
                <w:szCs w:val="18"/>
                <w:color w:val="auto"/>
              </w:rPr>
            </w:pPr>
          </w:p>
        </w:tc>
        <w:tc>
          <w:tcPr>
            <w:tcW w:w="374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Equity securities</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r>
      <w:tr>
        <w:trPr>
          <w:trHeight w:val="257"/>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196"/>
        </w:trPr>
        <w:tc>
          <w:tcPr>
            <w:tcW w:w="20" w:type="dxa"/>
            <w:vAlign w:val="bottom"/>
            <w:shd w:val="clear" w:color="auto" w:fill="CCEEFF"/>
          </w:tcPr>
          <w:p>
            <w:pPr>
              <w:spacing w:after="0"/>
              <w:rPr>
                <w:sz w:val="17"/>
                <w:szCs w:val="17"/>
                <w:color w:val="auto"/>
              </w:rPr>
            </w:pPr>
          </w:p>
        </w:tc>
        <w:tc>
          <w:tcPr>
            <w:tcW w:w="374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color w:val="auto"/>
              </w:rPr>
              <w:t>December 31, 2025</w:t>
            </w: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1420" w:type="dxa"/>
            <w:vAlign w:val="bottom"/>
            <w:tcBorders>
              <w:top w:val="single" w:sz="8" w:color="auto"/>
            </w:tcBorders>
            <w:gridSpan w:val="2"/>
          </w:tcPr>
          <w:p>
            <w:pPr>
              <w:ind w:left="200"/>
              <w:spacing w:after="0"/>
              <w:rPr>
                <w:sz w:val="20"/>
                <w:szCs w:val="20"/>
                <w:color w:val="auto"/>
              </w:rPr>
            </w:pPr>
            <w:r>
              <w:rPr>
                <w:rFonts w:ascii="Arial" w:cs="Arial" w:eastAsia="Arial" w:hAnsi="Arial"/>
                <w:sz w:val="16"/>
                <w:szCs w:val="16"/>
                <w:color w:val="auto"/>
              </w:rPr>
              <w:t>Loans HFS</w:t>
            </w:r>
          </w:p>
        </w:tc>
        <w:tc>
          <w:tcPr>
            <w:tcW w:w="23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3,148</w:t>
            </w: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CCEEFF"/>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3,148</w:t>
            </w: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CCEEFF"/>
            </w:tcBorders>
          </w:tcPr>
          <w:p>
            <w:pPr>
              <w:ind w:left="940"/>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CCEEFF"/>
          </w:tcPr>
          <w:p>
            <w:pPr>
              <w:spacing w:after="0"/>
              <w:rPr>
                <w:sz w:val="18"/>
                <w:szCs w:val="18"/>
                <w:color w:val="auto"/>
              </w:rPr>
            </w:pPr>
          </w:p>
        </w:tc>
        <w:tc>
          <w:tcPr>
            <w:tcW w:w="374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Securities AFS:</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740" w:type="dxa"/>
            <w:vAlign w:val="bottom"/>
            <w:gridSpan w:val="3"/>
          </w:tcPr>
          <w:p>
            <w:pPr>
              <w:ind w:left="460"/>
              <w:spacing w:after="0"/>
              <w:rPr>
                <w:sz w:val="20"/>
                <w:szCs w:val="20"/>
                <w:color w:val="auto"/>
              </w:rPr>
            </w:pPr>
            <w:r>
              <w:rPr>
                <w:rFonts w:ascii="Arial" w:cs="Arial" w:eastAsia="Arial" w:hAnsi="Arial"/>
                <w:sz w:val="16"/>
                <w:szCs w:val="16"/>
                <w:color w:val="auto"/>
              </w:rPr>
              <w:t>Mortgage-backed securities</w:t>
            </w: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410,029</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410,029</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ind w:left="940"/>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CCEEFF"/>
          </w:tcPr>
          <w:p>
            <w:pPr>
              <w:spacing w:after="0"/>
              <w:rPr>
                <w:sz w:val="18"/>
                <w:szCs w:val="18"/>
                <w:color w:val="auto"/>
              </w:rPr>
            </w:pPr>
          </w:p>
        </w:tc>
        <w:tc>
          <w:tcPr>
            <w:tcW w:w="3740" w:type="dxa"/>
            <w:vAlign w:val="bottom"/>
            <w:gridSpan w:val="3"/>
            <w:shd w:val="clear" w:color="auto" w:fill="CCEEFF"/>
          </w:tcPr>
          <w:p>
            <w:pPr>
              <w:ind w:left="460"/>
              <w:spacing w:after="0"/>
              <w:rPr>
                <w:sz w:val="20"/>
                <w:szCs w:val="20"/>
                <w:color w:val="auto"/>
              </w:rPr>
            </w:pPr>
            <w:r>
              <w:rPr>
                <w:rFonts w:ascii="Arial" w:cs="Arial" w:eastAsia="Arial" w:hAnsi="Arial"/>
                <w:sz w:val="16"/>
                <w:szCs w:val="16"/>
                <w:color w:val="auto"/>
              </w:rPr>
              <w:t>Municipal bonds</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r>
      <w:tr>
        <w:trPr>
          <w:trHeight w:val="215"/>
        </w:trPr>
        <w:tc>
          <w:tcPr>
            <w:tcW w:w="20" w:type="dxa"/>
            <w:vAlign w:val="bottom"/>
          </w:tcPr>
          <w:p>
            <w:pPr>
              <w:spacing w:after="0"/>
              <w:rPr>
                <w:sz w:val="18"/>
                <w:szCs w:val="18"/>
                <w:color w:val="auto"/>
              </w:rPr>
            </w:pPr>
          </w:p>
        </w:tc>
        <w:tc>
          <w:tcPr>
            <w:tcW w:w="3740" w:type="dxa"/>
            <w:vAlign w:val="bottom"/>
            <w:gridSpan w:val="3"/>
          </w:tcPr>
          <w:p>
            <w:pPr>
              <w:ind w:left="460"/>
              <w:spacing w:after="0"/>
              <w:rPr>
                <w:sz w:val="20"/>
                <w:szCs w:val="20"/>
                <w:color w:val="auto"/>
              </w:rPr>
            </w:pPr>
            <w:r>
              <w:rPr>
                <w:rFonts w:ascii="Arial" w:cs="Arial" w:eastAsia="Arial" w:hAnsi="Arial"/>
                <w:sz w:val="16"/>
                <w:szCs w:val="16"/>
                <w:color w:val="auto"/>
              </w:rPr>
              <w:t>U.S. agency securities</w:t>
            </w: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65,981</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65,981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ind w:left="940"/>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CCEEFF"/>
          </w:tcPr>
          <w:p>
            <w:pPr>
              <w:spacing w:after="0"/>
              <w:rPr>
                <w:sz w:val="18"/>
                <w:szCs w:val="18"/>
                <w:color w:val="auto"/>
              </w:rPr>
            </w:pPr>
          </w:p>
        </w:tc>
        <w:tc>
          <w:tcPr>
            <w:tcW w:w="374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Equity securities</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r>
    </w:tbl>
    <w:p>
      <w:pPr>
        <w:spacing w:after="0" w:line="202" w:lineRule="exact"/>
        <w:rPr>
          <w:sz w:val="20"/>
          <w:szCs w:val="20"/>
          <w:color w:val="auto"/>
        </w:rPr>
      </w:pPr>
    </w:p>
    <w:p>
      <w:pPr>
        <w:ind w:right="1480"/>
        <w:spacing w:after="0" w:line="413" w:lineRule="auto"/>
        <w:rPr>
          <w:sz w:val="20"/>
          <w:szCs w:val="20"/>
          <w:color w:val="auto"/>
        </w:rPr>
      </w:pPr>
      <w:r>
        <w:rPr>
          <w:rFonts w:ascii="Arial" w:cs="Arial" w:eastAsia="Arial" w:hAnsi="Arial"/>
          <w:sz w:val="16"/>
          <w:szCs w:val="16"/>
          <w:color w:val="auto"/>
        </w:rPr>
        <w:t xml:space="preserve">There were no transfers between Level 1, 2, or 3 during the three months ended March 31, 2026 or the year ended December 31, 2025. </w:t>
      </w:r>
      <w:r>
        <w:rPr>
          <w:rFonts w:ascii="Arial" w:cs="Arial" w:eastAsia="Arial" w:hAnsi="Arial"/>
          <w:sz w:val="16"/>
          <w:szCs w:val="16"/>
          <w:i w:val="1"/>
          <w:iCs w:val="1"/>
          <w:u w:val="single" w:color="auto"/>
          <w:color w:val="auto"/>
        </w:rPr>
        <w:t>Fair Value of Assets and Liabilities Measured on a Nonrecurring Basis</w:t>
      </w:r>
    </w:p>
    <w:p>
      <w:pPr>
        <w:spacing w:after="0" w:line="1"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i w:val="1"/>
          <w:iCs w:val="1"/>
          <w:color w:val="auto"/>
        </w:rPr>
        <w:t xml:space="preserve">Financial Assets and Financial Liabilities: </w:t>
      </w:r>
      <w:r>
        <w:rPr>
          <w:rFonts w:ascii="Arial" w:cs="Arial" w:eastAsia="Arial" w:hAnsi="Arial"/>
          <w:sz w:val="16"/>
          <w:szCs w:val="16"/>
          <w:color w:val="auto"/>
        </w:rPr>
        <w:t>Certain financial assets and financial liabilities are measured at fair value on a nonrecurring basis and are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to fair value adjustments in certain circumstances. Financial assets measured at fair value on a nonrecurring basis include certain individually evaluated collateral dependent loans reported at fair value of the underlying collateral if repayment is expected solely from the collateral. Prior to foreclosure of these loans, fair value of the collateral is estimated using Level 3 inputs based on customized discounting criteria.</w:t>
      </w:r>
    </w:p>
    <w:p>
      <w:pPr>
        <w:spacing w:after="0" w:line="92"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table below presents certain collateral dependent loans that were remeasured and reported at fair value through the ACL based upon the fair value of the underlying collateral as of the dates indicated: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8"/>
                <w:szCs w:val="18"/>
                <w:color w:val="auto"/>
              </w:rPr>
            </w:pPr>
          </w:p>
        </w:tc>
        <w:tc>
          <w:tcPr>
            <w:tcW w:w="19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2026</w:t>
            </w:r>
          </w:p>
        </w:tc>
        <w:tc>
          <w:tcPr>
            <w:tcW w:w="220" w:type="dxa"/>
            <w:vAlign w:val="bottom"/>
          </w:tcPr>
          <w:p>
            <w:pPr>
              <w:spacing w:after="0"/>
              <w:rPr>
                <w:sz w:val="18"/>
                <w:szCs w:val="18"/>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2025</w:t>
            </w:r>
          </w:p>
        </w:tc>
      </w:tr>
      <w:tr>
        <w:trPr>
          <w:trHeight w:val="210"/>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Carrying value of collateral dependent loans before allowance</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9,797</w:t>
            </w:r>
          </w:p>
        </w:tc>
      </w:tr>
      <w:tr>
        <w:trPr>
          <w:trHeight w:val="215"/>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Specific allowance</w:t>
            </w: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w:t>
            </w:r>
          </w:p>
        </w:tc>
      </w:tr>
      <w:tr>
        <w:trPr>
          <w:trHeight w:val="235"/>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Fair value of collateral dependent loans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8,952</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had no financial liabilities measured at fair value on a nonrecurring basis as of March 31, 2026 and December 31, 2025.</w:t>
      </w:r>
    </w:p>
    <w:p>
      <w:pPr>
        <w:spacing w:after="0" w:line="140"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i w:val="1"/>
          <w:iCs w:val="1"/>
          <w:color w:val="auto"/>
        </w:rPr>
        <w:t xml:space="preserve">Nonfinancial Assets and Liabilities: </w:t>
      </w:r>
      <w:r>
        <w:rPr>
          <w:rFonts w:ascii="Arial" w:cs="Arial" w:eastAsia="Arial" w:hAnsi="Arial"/>
          <w:sz w:val="16"/>
          <w:szCs w:val="16"/>
          <w:color w:val="auto"/>
        </w:rPr>
        <w:t>Certain nonfinancial assets and nonfinancial liabilities are measured at fair value on a nonrecurring basis. These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foreclosed assets, which are remeasured and reported at fair value through a charge-off to the ACL upon initial recognition as a foreclosed asset. Subsequent to their initial recognition, certain foreclosed assets are remeasured at fair value through an adjustment included in other noninterest income. The fair value of foreclosed assets is estimated using Level 3 inputs based on customized discounting criteria less estimated selling costs.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foreclosed assets that were remeasured and reported at fair value as of the dates indicated: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March 31, 2026</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December 31, 2025</w:t>
            </w:r>
          </w:p>
        </w:tc>
      </w:tr>
      <w:tr>
        <w:trPr>
          <w:trHeight w:val="196"/>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Foreclosed assets remeasured at initial recognition:</w:t>
            </w:r>
          </w:p>
        </w:tc>
        <w:tc>
          <w:tcPr>
            <w:tcW w:w="3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215"/>
        </w:trPr>
        <w:tc>
          <w:tcPr>
            <w:tcW w:w="6940" w:type="dxa"/>
            <w:vAlign w:val="bottom"/>
          </w:tcPr>
          <w:p>
            <w:pPr>
              <w:ind w:left="220"/>
              <w:spacing w:after="0"/>
              <w:rPr>
                <w:sz w:val="20"/>
                <w:szCs w:val="20"/>
                <w:color w:val="auto"/>
              </w:rPr>
            </w:pPr>
            <w:r>
              <w:rPr>
                <w:rFonts w:ascii="Arial" w:cs="Arial" w:eastAsia="Arial" w:hAnsi="Arial"/>
                <w:sz w:val="16"/>
                <w:szCs w:val="16"/>
                <w:color w:val="auto"/>
              </w:rPr>
              <w:t>Carrying value of foreclosed assets prior to remeasurement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Charge-offs</w:t>
            </w:r>
          </w:p>
        </w:tc>
        <w:tc>
          <w:tcPr>
            <w:tcW w:w="3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6940" w:type="dxa"/>
            <w:vAlign w:val="bottom"/>
          </w:tcPr>
          <w:p>
            <w:pPr>
              <w:ind w:left="480"/>
              <w:spacing w:after="0"/>
              <w:rPr>
                <w:sz w:val="20"/>
                <w:szCs w:val="20"/>
                <w:color w:val="auto"/>
              </w:rPr>
            </w:pPr>
            <w:r>
              <w:rPr>
                <w:rFonts w:ascii="Arial" w:cs="Arial" w:eastAsia="Arial" w:hAnsi="Arial"/>
                <w:sz w:val="16"/>
                <w:szCs w:val="16"/>
                <w:color w:val="auto"/>
              </w:rPr>
              <w:t>Fair value of foreclosed assets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20"/>
        </w:trPr>
        <w:tc>
          <w:tcPr>
            <w:tcW w:w="6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There were no foreclosed assets that were remeasured subsequent to initial recognition as of March 31, 2026 and December 31, 2025.</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Company had no nonfinancial liabilities measured at fair value on a nonrecurring basis as of March 31, 2026 and December 31, 2025.</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unobservable inputs used for the Level 3 fair value measurements on a nonrecurring basis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vMerge w:val="restart"/>
          </w:tcPr>
          <w:p>
            <w:pPr>
              <w:ind w:left="440"/>
              <w:spacing w:after="0"/>
              <w:rPr>
                <w:sz w:val="20"/>
                <w:szCs w:val="20"/>
                <w:color w:val="auto"/>
              </w:rPr>
            </w:pPr>
            <w:r>
              <w:rPr>
                <w:rFonts w:ascii="Arial" w:cs="Arial" w:eastAsia="Arial" w:hAnsi="Arial"/>
                <w:sz w:val="16"/>
                <w:szCs w:val="16"/>
                <w:b w:val="1"/>
                <w:bCs w:val="1"/>
                <w:color w:val="auto"/>
              </w:rPr>
              <w:t>Valuation</w:t>
            </w: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9"/>
              </w:rPr>
              <w:t>Discount</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40" w:type="dxa"/>
            <w:vAlign w:val="bottom"/>
            <w:gridSpan w:val="3"/>
            <w:vMerge w:val="restart"/>
          </w:tcPr>
          <w:p>
            <w:pPr>
              <w:spacing w:after="0"/>
              <w:rPr>
                <w:sz w:val="20"/>
                <w:szCs w:val="20"/>
                <w:color w:val="auto"/>
              </w:rPr>
            </w:pPr>
            <w:r>
              <w:rPr>
                <w:rFonts w:ascii="Arial" w:cs="Arial" w:eastAsia="Arial" w:hAnsi="Arial"/>
                <w:sz w:val="16"/>
                <w:szCs w:val="16"/>
                <w:i w:val="1"/>
                <w:iCs w:val="1"/>
                <w:color w:val="auto"/>
              </w:rPr>
              <w:t>(dollars in thousands)</w:t>
            </w:r>
          </w:p>
        </w:tc>
        <w:tc>
          <w:tcPr>
            <w:tcW w:w="140" w:type="dxa"/>
            <w:vAlign w:val="bottom"/>
          </w:tcPr>
          <w:p>
            <w:pPr>
              <w:spacing w:after="0"/>
              <w:rPr>
                <w:sz w:val="14"/>
                <w:szCs w:val="14"/>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Fair Value</w:t>
            </w:r>
          </w:p>
        </w:tc>
        <w:tc>
          <w:tcPr>
            <w:tcW w:w="1680" w:type="dxa"/>
            <w:vAlign w:val="bottom"/>
            <w:gridSpan w:val="2"/>
            <w:vMerge w:val="continue"/>
          </w:tcPr>
          <w:p>
            <w:pPr>
              <w:spacing w:after="0"/>
              <w:rPr>
                <w:sz w:val="14"/>
                <w:szCs w:val="14"/>
                <w:color w:val="auto"/>
              </w:rPr>
            </w:pPr>
          </w:p>
        </w:tc>
        <w:tc>
          <w:tcPr>
            <w:tcW w:w="3780" w:type="dxa"/>
            <w:vAlign w:val="bottom"/>
            <w:gridSpan w:val="2"/>
            <w:vMerge w:val="restart"/>
          </w:tcPr>
          <w:p>
            <w:pPr>
              <w:ind w:left="1080"/>
              <w:spacing w:after="0"/>
              <w:rPr>
                <w:sz w:val="20"/>
                <w:szCs w:val="20"/>
                <w:color w:val="auto"/>
              </w:rPr>
            </w:pPr>
            <w:r>
              <w:rPr>
                <w:rFonts w:ascii="Arial" w:cs="Arial" w:eastAsia="Arial" w:hAnsi="Arial"/>
                <w:sz w:val="16"/>
                <w:szCs w:val="16"/>
                <w:b w:val="1"/>
                <w:bCs w:val="1"/>
                <w:color w:val="auto"/>
              </w:rPr>
              <w:t>Unobservable Input</w:t>
            </w:r>
          </w:p>
        </w:tc>
        <w:tc>
          <w:tcPr>
            <w:tcW w:w="1300" w:type="dxa"/>
            <w:vAlign w:val="bottom"/>
            <w:gridSpan w:val="2"/>
            <w:vMerge w:val="continue"/>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80" w:type="dxa"/>
            <w:vAlign w:val="bottom"/>
            <w:gridSpan w:val="2"/>
          </w:tcPr>
          <w:p>
            <w:pPr>
              <w:ind w:left="400"/>
              <w:spacing w:after="0"/>
              <w:rPr>
                <w:sz w:val="20"/>
                <w:szCs w:val="20"/>
                <w:color w:val="auto"/>
              </w:rPr>
            </w:pPr>
            <w:r>
              <w:rPr>
                <w:rFonts w:ascii="Arial" w:cs="Arial" w:eastAsia="Arial" w:hAnsi="Arial"/>
                <w:sz w:val="16"/>
                <w:szCs w:val="16"/>
                <w:b w:val="1"/>
                <w:bCs w:val="1"/>
                <w:color w:val="auto"/>
              </w:rPr>
              <w:t>Technique</w:t>
            </w:r>
          </w:p>
        </w:tc>
        <w:tc>
          <w:tcPr>
            <w:tcW w:w="3780" w:type="dxa"/>
            <w:vAlign w:val="bottom"/>
            <w:gridSpan w:val="2"/>
            <w:vMerge w:val="continue"/>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Ranges</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9"/>
              </w:rPr>
              <w:t>Discount</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CCEEFF"/>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March 31, 2026</w:t>
            </w:r>
          </w:p>
        </w:tc>
        <w:tc>
          <w:tcPr>
            <w:tcW w:w="10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5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40" w:type="dxa"/>
            <w:vAlign w:val="bottom"/>
            <w:gridSpan w:val="3"/>
            <w:vMerge w:val="restart"/>
          </w:tcPr>
          <w:p>
            <w:pPr>
              <w:spacing w:after="0"/>
              <w:rPr>
                <w:sz w:val="20"/>
                <w:szCs w:val="20"/>
                <w:color w:val="auto"/>
              </w:rPr>
            </w:pPr>
            <w:r>
              <w:rPr>
                <w:rFonts w:ascii="Arial" w:cs="Arial" w:eastAsia="Arial" w:hAnsi="Arial"/>
                <w:sz w:val="16"/>
                <w:szCs w:val="16"/>
                <w:color w:val="auto"/>
              </w:rPr>
              <w:t>Collateral dependent loans</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14,369</w:t>
            </w:r>
          </w:p>
        </w:tc>
        <w:tc>
          <w:tcPr>
            <w:tcW w:w="100" w:type="dxa"/>
            <w:vAlign w:val="bottom"/>
          </w:tcPr>
          <w:p>
            <w:pPr>
              <w:spacing w:after="0"/>
              <w:rPr>
                <w:sz w:val="14"/>
                <w:szCs w:val="14"/>
                <w:color w:val="auto"/>
              </w:rPr>
            </w:pPr>
          </w:p>
        </w:tc>
        <w:tc>
          <w:tcPr>
            <w:tcW w:w="16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Discounted</w:t>
            </w:r>
          </w:p>
        </w:tc>
        <w:tc>
          <w:tcPr>
            <w:tcW w:w="3780" w:type="dxa"/>
            <w:vAlign w:val="bottom"/>
            <w:gridSpan w:val="2"/>
            <w:vMerge w:val="restart"/>
          </w:tcPr>
          <w:p>
            <w:pPr>
              <w:ind w:left="20"/>
              <w:spacing w:after="0"/>
              <w:rPr>
                <w:sz w:val="20"/>
                <w:szCs w:val="20"/>
                <w:color w:val="auto"/>
              </w:rPr>
            </w:pPr>
            <w:r>
              <w:rPr>
                <w:rFonts w:ascii="Arial" w:cs="Arial" w:eastAsia="Arial" w:hAnsi="Arial"/>
                <w:sz w:val="16"/>
                <w:szCs w:val="16"/>
                <w:color w:val="auto"/>
              </w:rPr>
              <w:t>Collateral discounts and costs to sell</w:t>
            </w:r>
          </w:p>
        </w:tc>
        <w:tc>
          <w:tcPr>
            <w:tcW w:w="1200" w:type="dxa"/>
            <w:vAlign w:val="bottom"/>
            <w:vMerge w:val="restart"/>
          </w:tcPr>
          <w:p>
            <w:pPr>
              <w:jc w:val="center"/>
              <w:spacing w:after="0"/>
              <w:rPr>
                <w:sz w:val="20"/>
                <w:szCs w:val="20"/>
                <w:color w:val="auto"/>
              </w:rPr>
            </w:pPr>
            <w:r>
              <w:rPr>
                <w:rFonts w:ascii="Arial" w:cs="Arial" w:eastAsia="Arial" w:hAnsi="Arial"/>
                <w:sz w:val="16"/>
                <w:szCs w:val="16"/>
                <w:color w:val="auto"/>
              </w:rPr>
              <w:t>0% - 100%</w:t>
            </w:r>
          </w:p>
        </w:tc>
        <w:tc>
          <w:tcPr>
            <w:tcW w:w="10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auto"/>
                <w:w w:val="96"/>
              </w:rPr>
              <w:t>5.25%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ind w:left="20"/>
              <w:spacing w:after="0"/>
              <w:rPr>
                <w:sz w:val="20"/>
                <w:szCs w:val="20"/>
                <w:color w:val="auto"/>
              </w:rPr>
            </w:pPr>
            <w:r>
              <w:rPr>
                <w:rFonts w:ascii="Arial" w:cs="Arial" w:eastAsia="Arial" w:hAnsi="Arial"/>
                <w:sz w:val="16"/>
                <w:szCs w:val="16"/>
                <w:color w:val="auto"/>
              </w:rPr>
              <w:t>appraisals</w:t>
            </w:r>
          </w:p>
        </w:tc>
        <w:tc>
          <w:tcPr>
            <w:tcW w:w="378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140" w:type="dxa"/>
            <w:vAlign w:val="bottom"/>
            <w:gridSpan w:val="3"/>
            <w:vMerge w:val="restart"/>
            <w:shd w:val="clear" w:color="auto" w:fill="CCEEFF"/>
          </w:tcPr>
          <w:p>
            <w:pPr>
              <w:spacing w:after="0"/>
              <w:rPr>
                <w:sz w:val="20"/>
                <w:szCs w:val="20"/>
                <w:color w:val="auto"/>
              </w:rPr>
            </w:pPr>
            <w:r>
              <w:rPr>
                <w:rFonts w:ascii="Arial" w:cs="Arial" w:eastAsia="Arial" w:hAnsi="Arial"/>
                <w:sz w:val="16"/>
                <w:szCs w:val="16"/>
                <w:color w:val="auto"/>
              </w:rPr>
              <w:t>Foreclosed assets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Discounted</w:t>
            </w:r>
          </w:p>
        </w:tc>
        <w:tc>
          <w:tcPr>
            <w:tcW w:w="37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Collateral discounts and costs to sell</w:t>
            </w: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0% - 39%</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28.07%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140" w:type="dxa"/>
            <w:vAlign w:val="bottom"/>
            <w:gridSpan w:val="3"/>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appraisals</w:t>
            </w:r>
          </w:p>
        </w:tc>
        <w:tc>
          <w:tcPr>
            <w:tcW w:w="3780" w:type="dxa"/>
            <w:vAlign w:val="bottom"/>
            <w:gridSpan w:val="2"/>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14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color w:val="auto"/>
              </w:rPr>
              <w:t>December 31, 2025</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140" w:type="dxa"/>
            <w:vAlign w:val="bottom"/>
            <w:gridSpan w:val="3"/>
            <w:vMerge w:val="restart"/>
          </w:tcPr>
          <w:p>
            <w:pPr>
              <w:spacing w:after="0"/>
              <w:rPr>
                <w:sz w:val="20"/>
                <w:szCs w:val="20"/>
                <w:color w:val="auto"/>
              </w:rPr>
            </w:pPr>
            <w:r>
              <w:rPr>
                <w:rFonts w:ascii="Arial" w:cs="Arial" w:eastAsia="Arial" w:hAnsi="Arial"/>
                <w:sz w:val="16"/>
                <w:szCs w:val="16"/>
                <w:color w:val="auto"/>
              </w:rPr>
              <w:t>Collateral dependent loans</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14,409</w:t>
            </w:r>
          </w:p>
        </w:tc>
        <w:tc>
          <w:tcPr>
            <w:tcW w:w="100" w:type="dxa"/>
            <w:vAlign w:val="bottom"/>
          </w:tcPr>
          <w:p>
            <w:pPr>
              <w:spacing w:after="0"/>
              <w:rPr>
                <w:sz w:val="14"/>
                <w:szCs w:val="14"/>
                <w:color w:val="auto"/>
              </w:rPr>
            </w:pPr>
          </w:p>
        </w:tc>
        <w:tc>
          <w:tcPr>
            <w:tcW w:w="16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Discounted</w:t>
            </w:r>
          </w:p>
        </w:tc>
        <w:tc>
          <w:tcPr>
            <w:tcW w:w="3780" w:type="dxa"/>
            <w:vAlign w:val="bottom"/>
            <w:gridSpan w:val="2"/>
            <w:vMerge w:val="restart"/>
          </w:tcPr>
          <w:p>
            <w:pPr>
              <w:ind w:left="20"/>
              <w:spacing w:after="0"/>
              <w:rPr>
                <w:sz w:val="20"/>
                <w:szCs w:val="20"/>
                <w:color w:val="auto"/>
              </w:rPr>
            </w:pPr>
            <w:r>
              <w:rPr>
                <w:rFonts w:ascii="Arial" w:cs="Arial" w:eastAsia="Arial" w:hAnsi="Arial"/>
                <w:sz w:val="16"/>
                <w:szCs w:val="16"/>
                <w:color w:val="auto"/>
              </w:rPr>
              <w:t>Collateral discounts and costs to sell</w:t>
            </w:r>
          </w:p>
        </w:tc>
        <w:tc>
          <w:tcPr>
            <w:tcW w:w="1200" w:type="dxa"/>
            <w:vAlign w:val="bottom"/>
            <w:vMerge w:val="restart"/>
          </w:tcPr>
          <w:p>
            <w:pPr>
              <w:jc w:val="center"/>
              <w:spacing w:after="0"/>
              <w:rPr>
                <w:sz w:val="20"/>
                <w:szCs w:val="20"/>
                <w:color w:val="auto"/>
              </w:rPr>
            </w:pPr>
            <w:r>
              <w:rPr>
                <w:rFonts w:ascii="Arial" w:cs="Arial" w:eastAsia="Arial" w:hAnsi="Arial"/>
                <w:sz w:val="16"/>
                <w:szCs w:val="16"/>
                <w:color w:val="auto"/>
              </w:rPr>
              <w:t>0% - 100%</w:t>
            </w:r>
          </w:p>
        </w:tc>
        <w:tc>
          <w:tcPr>
            <w:tcW w:w="10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auto"/>
                <w:w w:val="96"/>
              </w:rPr>
              <w:t>6.04%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ind w:left="20"/>
              <w:spacing w:after="0"/>
              <w:rPr>
                <w:sz w:val="20"/>
                <w:szCs w:val="20"/>
                <w:color w:val="auto"/>
              </w:rPr>
            </w:pPr>
            <w:r>
              <w:rPr>
                <w:rFonts w:ascii="Arial" w:cs="Arial" w:eastAsia="Arial" w:hAnsi="Arial"/>
                <w:sz w:val="16"/>
                <w:szCs w:val="16"/>
                <w:color w:val="auto"/>
              </w:rPr>
              <w:t>appraisals</w:t>
            </w:r>
          </w:p>
        </w:tc>
        <w:tc>
          <w:tcPr>
            <w:tcW w:w="378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140" w:type="dxa"/>
            <w:vAlign w:val="bottom"/>
            <w:gridSpan w:val="3"/>
            <w:vMerge w:val="restart"/>
            <w:shd w:val="clear" w:color="auto" w:fill="CCEEFF"/>
          </w:tcPr>
          <w:p>
            <w:pPr>
              <w:spacing w:after="0"/>
              <w:rPr>
                <w:sz w:val="20"/>
                <w:szCs w:val="20"/>
                <w:color w:val="auto"/>
              </w:rPr>
            </w:pPr>
            <w:r>
              <w:rPr>
                <w:rFonts w:ascii="Arial" w:cs="Arial" w:eastAsia="Arial" w:hAnsi="Arial"/>
                <w:sz w:val="16"/>
                <w:szCs w:val="16"/>
                <w:color w:val="auto"/>
              </w:rPr>
              <w:t>Foreclosed assets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Discounted</w:t>
            </w:r>
          </w:p>
        </w:tc>
        <w:tc>
          <w:tcPr>
            <w:tcW w:w="37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Collateral discounts and costs to sell</w:t>
            </w: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0% - 12%</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5"/>
              </w:rPr>
              <w:t>11.11%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140" w:type="dxa"/>
            <w:vAlign w:val="bottom"/>
            <w:gridSpan w:val="3"/>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appraisals</w:t>
            </w:r>
          </w:p>
        </w:tc>
        <w:tc>
          <w:tcPr>
            <w:tcW w:w="3780" w:type="dxa"/>
            <w:vAlign w:val="bottom"/>
            <w:gridSpan w:val="2"/>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Fair Value of Financial Instruments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amounts and estimated fair values of financial instruments as of March 31, 2026 and December 31, 2025,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740" w:type="dxa"/>
            <w:vAlign w:val="bottom"/>
            <w:gridSpan w:val="3"/>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Carrying</w:t>
            </w:r>
          </w:p>
        </w:tc>
        <w:tc>
          <w:tcPr>
            <w:tcW w:w="180" w:type="dxa"/>
            <w:vAlign w:val="bottom"/>
          </w:tcPr>
          <w:p>
            <w:pPr>
              <w:spacing w:after="0"/>
              <w:rPr>
                <w:sz w:val="16"/>
                <w:szCs w:val="1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16"/>
                <w:szCs w:val="16"/>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16"/>
                <w:szCs w:val="16"/>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6"/>
                <w:szCs w:val="16"/>
                <w:color w:val="auto"/>
              </w:rPr>
            </w:pPr>
          </w:p>
        </w:tc>
        <w:tc>
          <w:tcPr>
            <w:tcW w:w="100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Amount</w:t>
            </w: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CCEEFF"/>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March 31, 2026</w:t>
            </w:r>
          </w:p>
        </w:tc>
        <w:tc>
          <w:tcPr>
            <w:tcW w:w="36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6"/>
                <w:szCs w:val="16"/>
                <w:color w:val="auto"/>
              </w:rPr>
              <w:t>Financial assets: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Cash and due from banks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40" w:type="dxa"/>
            <w:vAlign w:val="bottom"/>
            <w:gridSpan w:val="3"/>
          </w:tcPr>
          <w:p>
            <w:pPr>
              <w:ind w:left="200"/>
              <w:spacing w:after="0"/>
              <w:rPr>
                <w:sz w:val="20"/>
                <w:szCs w:val="20"/>
                <w:color w:val="auto"/>
              </w:rPr>
            </w:pPr>
            <w:r>
              <w:rPr>
                <w:rFonts w:ascii="Arial" w:cs="Arial" w:eastAsia="Arial" w:hAnsi="Arial"/>
                <w:sz w:val="16"/>
                <w:szCs w:val="16"/>
                <w:color w:val="auto"/>
              </w:rPr>
              <w:t>Interest-bearing deposits in other banks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173,845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173,845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173,845</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Securities AFS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638,729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638,729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638,729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40" w:type="dxa"/>
            <w:vAlign w:val="bottom"/>
            <w:gridSpan w:val="3"/>
          </w:tcPr>
          <w:p>
            <w:pPr>
              <w:ind w:left="200"/>
              <w:spacing w:after="0"/>
              <w:rPr>
                <w:sz w:val="20"/>
                <w:szCs w:val="20"/>
                <w:color w:val="auto"/>
              </w:rPr>
            </w:pPr>
            <w:r>
              <w:rPr>
                <w:rFonts w:ascii="Arial" w:cs="Arial" w:eastAsia="Arial" w:hAnsi="Arial"/>
                <w:sz w:val="16"/>
                <w:szCs w:val="16"/>
                <w:color w:val="auto"/>
              </w:rPr>
              <w:t>Securities HTM</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120,609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101,917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101,917</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Equity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40" w:type="dxa"/>
            <w:vAlign w:val="bottom"/>
            <w:gridSpan w:val="3"/>
          </w:tcPr>
          <w:p>
            <w:pPr>
              <w:ind w:left="200"/>
              <w:spacing w:after="0"/>
              <w:rPr>
                <w:sz w:val="20"/>
                <w:szCs w:val="20"/>
                <w:color w:val="auto"/>
              </w:rPr>
            </w:pPr>
            <w:r>
              <w:rPr>
                <w:rFonts w:ascii="Arial" w:cs="Arial" w:eastAsia="Arial" w:hAnsi="Arial"/>
                <w:sz w:val="16"/>
                <w:szCs w:val="16"/>
                <w:color w:val="auto"/>
              </w:rPr>
              <w:t>Nonmarketable equity securities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2,425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2,425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2,425</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Loans HFS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40" w:type="dxa"/>
            <w:vAlign w:val="bottom"/>
            <w:gridSpan w:val="3"/>
          </w:tcPr>
          <w:p>
            <w:pPr>
              <w:ind w:left="200"/>
              <w:spacing w:after="0"/>
              <w:rPr>
                <w:sz w:val="20"/>
                <w:szCs w:val="20"/>
                <w:color w:val="auto"/>
              </w:rPr>
            </w:pPr>
            <w:r>
              <w:rPr>
                <w:rFonts w:ascii="Arial" w:cs="Arial" w:eastAsia="Arial" w:hAnsi="Arial"/>
                <w:sz w:val="16"/>
                <w:szCs w:val="16"/>
                <w:color w:val="auto"/>
              </w:rPr>
              <w:t>Loans HFI, net of allowance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2,230,495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2,171,867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2,171,867</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Accrued interest receivable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6"/>
                <w:szCs w:val="16"/>
                <w:color w:val="auto"/>
              </w:rPr>
              <w:t>Financial liabilities: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Deposits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2,945,935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2,943,698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2,943,698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40" w:type="dxa"/>
            <w:vAlign w:val="bottom"/>
            <w:gridSpan w:val="3"/>
          </w:tcPr>
          <w:p>
            <w:pPr>
              <w:ind w:left="200"/>
              <w:spacing w:after="0"/>
              <w:rPr>
                <w:sz w:val="20"/>
                <w:szCs w:val="20"/>
                <w:color w:val="auto"/>
              </w:rPr>
            </w:pPr>
            <w:r>
              <w:rPr>
                <w:rFonts w:ascii="Arial" w:cs="Arial" w:eastAsia="Arial" w:hAnsi="Arial"/>
                <w:sz w:val="16"/>
                <w:szCs w:val="16"/>
                <w:color w:val="auto"/>
              </w:rPr>
              <w:t>Accrued interest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6,025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6,025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6,025</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1"/>
        </w:trPr>
        <w:tc>
          <w:tcPr>
            <w:tcW w:w="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40" w:type="dxa"/>
            <w:vAlign w:val="bottom"/>
            <w:gridSpan w:val="3"/>
          </w:tcPr>
          <w:p>
            <w:pPr>
              <w:spacing w:after="0" w:line="175" w:lineRule="exact"/>
              <w:rPr>
                <w:sz w:val="20"/>
                <w:szCs w:val="20"/>
                <w:color w:val="auto"/>
              </w:rPr>
            </w:pPr>
            <w:r>
              <w:rPr>
                <w:rFonts w:ascii="Arial" w:cs="Arial" w:eastAsia="Arial" w:hAnsi="Arial"/>
                <w:sz w:val="16"/>
                <w:szCs w:val="16"/>
                <w:color w:val="auto"/>
              </w:rPr>
              <w:t>December 31, 2025</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Financial assets: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40" w:type="dxa"/>
            <w:vAlign w:val="bottom"/>
            <w:gridSpan w:val="3"/>
          </w:tcPr>
          <w:p>
            <w:pPr>
              <w:ind w:left="200"/>
              <w:spacing w:after="0"/>
              <w:rPr>
                <w:sz w:val="20"/>
                <w:szCs w:val="20"/>
                <w:color w:val="auto"/>
              </w:rPr>
            </w:pPr>
            <w:r>
              <w:rPr>
                <w:rFonts w:ascii="Arial" w:cs="Arial" w:eastAsia="Arial" w:hAnsi="Arial"/>
                <w:sz w:val="16"/>
                <w:szCs w:val="16"/>
                <w:color w:val="auto"/>
              </w:rPr>
              <w:t>Cash and due from banks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25,685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25,685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25,685</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Interest-bearing deposits in other banks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187,707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187,707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187,707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40" w:type="dxa"/>
            <w:vAlign w:val="bottom"/>
            <w:gridSpan w:val="3"/>
          </w:tcPr>
          <w:p>
            <w:pPr>
              <w:ind w:left="200"/>
              <w:spacing w:after="0"/>
              <w:rPr>
                <w:sz w:val="20"/>
                <w:szCs w:val="20"/>
                <w:color w:val="auto"/>
              </w:rPr>
            </w:pPr>
            <w:r>
              <w:rPr>
                <w:rFonts w:ascii="Arial" w:cs="Arial" w:eastAsia="Arial" w:hAnsi="Arial"/>
                <w:sz w:val="16"/>
                <w:szCs w:val="16"/>
                <w:color w:val="auto"/>
              </w:rPr>
              <w:t>Securities AFS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647,310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647,310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647,310</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Securities HTM</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40" w:type="dxa"/>
            <w:vAlign w:val="bottom"/>
            <w:gridSpan w:val="3"/>
          </w:tcPr>
          <w:p>
            <w:pPr>
              <w:ind w:left="200"/>
              <w:spacing w:after="0"/>
              <w:rPr>
                <w:sz w:val="20"/>
                <w:szCs w:val="20"/>
                <w:color w:val="auto"/>
              </w:rPr>
            </w:pPr>
            <w:r>
              <w:rPr>
                <w:rFonts w:ascii="Arial" w:cs="Arial" w:eastAsia="Arial" w:hAnsi="Arial"/>
                <w:sz w:val="16"/>
                <w:szCs w:val="16"/>
                <w:color w:val="auto"/>
              </w:rPr>
              <w:t>Equity securities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3,031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3,031</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3,031</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Nonmarketable equity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40" w:type="dxa"/>
            <w:vAlign w:val="bottom"/>
            <w:gridSpan w:val="3"/>
          </w:tcPr>
          <w:p>
            <w:pPr>
              <w:ind w:left="200"/>
              <w:spacing w:after="0"/>
              <w:rPr>
                <w:sz w:val="20"/>
                <w:szCs w:val="20"/>
                <w:color w:val="auto"/>
              </w:rPr>
            </w:pPr>
            <w:r>
              <w:rPr>
                <w:rFonts w:ascii="Arial" w:cs="Arial" w:eastAsia="Arial" w:hAnsi="Arial"/>
                <w:sz w:val="16"/>
                <w:szCs w:val="16"/>
                <w:color w:val="auto"/>
              </w:rPr>
              <w:t>Loans HFS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3,148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3,148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3,148</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Loans HFI, net of allowance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2,225,270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2,151,923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2,151,923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40" w:type="dxa"/>
            <w:vAlign w:val="bottom"/>
            <w:gridSpan w:val="3"/>
          </w:tcPr>
          <w:p>
            <w:pPr>
              <w:ind w:left="200"/>
              <w:spacing w:after="0"/>
              <w:rPr>
                <w:sz w:val="20"/>
                <w:szCs w:val="20"/>
                <w:color w:val="auto"/>
              </w:rPr>
            </w:pPr>
            <w:r>
              <w:rPr>
                <w:rFonts w:ascii="Arial" w:cs="Arial" w:eastAsia="Arial" w:hAnsi="Arial"/>
                <w:sz w:val="16"/>
                <w:szCs w:val="16"/>
                <w:color w:val="auto"/>
              </w:rPr>
              <w:t>Accrued interest receivable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11,131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11,131</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11,131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Financial liabilities: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40" w:type="dxa"/>
            <w:vAlign w:val="bottom"/>
            <w:gridSpan w:val="3"/>
          </w:tcPr>
          <w:p>
            <w:pPr>
              <w:ind w:left="200"/>
              <w:spacing w:after="0"/>
              <w:rPr>
                <w:sz w:val="20"/>
                <w:szCs w:val="20"/>
                <w:color w:val="auto"/>
              </w:rPr>
            </w:pPr>
            <w:r>
              <w:rPr>
                <w:rFonts w:ascii="Arial" w:cs="Arial" w:eastAsia="Arial" w:hAnsi="Arial"/>
                <w:sz w:val="16"/>
                <w:szCs w:val="16"/>
                <w:color w:val="auto"/>
              </w:rPr>
              <w:t>Deposits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2,963,412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2,961,310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2,961,310</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Accrued interest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Regulatory Capital Requirements</w:t>
      </w:r>
    </w:p>
    <w:p>
      <w:pPr>
        <w:spacing w:after="0" w:line="127"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The Company and the Bank are subject to various regulatory capital requirements administered by federal banking agencies. Failure to meet minimum capital requirements can initiate certain mandatory, and possibly additional discretionary actions by regulators that, if undertaken, could have a direct material effect on the Company’s and the Bank’s financial statements. Under capital adequacy guidelines and the regulatory framework for prompt corrective action, the Company and the Bank must meet specific capital guidelines that involve quantitative measures of its assets, liabilities, and certain off-balance 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Basel III Capital Requirements</w:t>
      </w:r>
    </w:p>
    <w:p>
      <w:pPr>
        <w:spacing w:after="0" w:line="13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Company and the Bank are subject to Basel III capital guidelines. Basel III requires the Company and the Bank to maintain certain minimum ratios to meet capital adequacy requirements. It is management’s belief that, as of March 31, 2026, both the Company and the Bank met all capital adequacy requirements under Basel III. Management expects that the capital ratios for the Company and the Bank under Basel III will continue to exceed capital adequacy requirements. Management believes that, as of March 31, 2026, the Bank is well-capitalized under the regulatory framework for prompt corrective action.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Capital amounts and ratios for the Company as of March 31, 2026 and December 31, 2025, are presented in the following table (Basel III Minimum includes the capital conservation buffer):</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880"/>
              <w:spacing w:after="0"/>
              <w:rPr>
                <w:sz w:val="20"/>
                <w:szCs w:val="20"/>
                <w:color w:val="auto"/>
              </w:rPr>
            </w:pPr>
            <w:r>
              <w:rPr>
                <w:rFonts w:ascii="Arial" w:cs="Arial" w:eastAsia="Arial" w:hAnsi="Arial"/>
                <w:sz w:val="16"/>
                <w:szCs w:val="16"/>
                <w:b w:val="1"/>
                <w:bCs w:val="1"/>
                <w:color w:val="auto"/>
              </w:rPr>
              <w:t>Actual</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Basel III Minimum</w:t>
            </w:r>
          </w:p>
        </w:tc>
      </w:tr>
      <w:tr>
        <w:trPr>
          <w:trHeight w:val="209"/>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8"/>
                <w:szCs w:val="18"/>
                <w:color w:val="auto"/>
              </w:rPr>
            </w:pPr>
          </w:p>
        </w:tc>
        <w:tc>
          <w:tcPr>
            <w:tcW w:w="148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Ratio</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1360" w:type="dxa"/>
            <w:vAlign w:val="bottom"/>
          </w:tcPr>
          <w:p>
            <w:pPr>
              <w:jc w:val="right"/>
              <w:ind w:right="399"/>
              <w:spacing w:after="0"/>
              <w:rPr>
                <w:sz w:val="20"/>
                <w:szCs w:val="20"/>
                <w:color w:val="auto"/>
              </w:rPr>
            </w:pPr>
            <w:r>
              <w:rPr>
                <w:rFonts w:ascii="Arial" w:cs="Arial" w:eastAsia="Arial" w:hAnsi="Arial"/>
                <w:sz w:val="16"/>
                <w:szCs w:val="16"/>
                <w:b w:val="1"/>
                <w:bCs w:val="1"/>
                <w:color w:val="auto"/>
              </w:rPr>
              <w:t>Ratio</w:t>
            </w: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CCEEFF"/>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March 31, 2026</w:t>
            </w:r>
          </w:p>
        </w:tc>
        <w:tc>
          <w:tcPr>
            <w:tcW w:w="45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6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5720" w:type="dxa"/>
            <w:vAlign w:val="bottom"/>
            <w:gridSpan w:val="3"/>
          </w:tcPr>
          <w:p>
            <w:pPr>
              <w:ind w:left="120"/>
              <w:spacing w:after="0"/>
              <w:rPr>
                <w:sz w:val="20"/>
                <w:szCs w:val="20"/>
                <w:color w:val="auto"/>
              </w:rPr>
            </w:pPr>
            <w:r>
              <w:rPr>
                <w:rFonts w:ascii="Arial" w:cs="Arial" w:eastAsia="Arial" w:hAnsi="Arial"/>
                <w:sz w:val="16"/>
                <w:szCs w:val="16"/>
                <w:color w:val="auto"/>
              </w:rPr>
              <w:t>Total Risk-Based Capital</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442,125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18.51%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250,858</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10.50%</w:t>
            </w:r>
          </w:p>
        </w:tc>
      </w:tr>
      <w:tr>
        <w:trPr>
          <w:trHeight w:val="217"/>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Tier I Risk-Based Capital</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417,432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203,076</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r>
      <w:tr>
        <w:trPr>
          <w:trHeight w:val="215"/>
        </w:trPr>
        <w:tc>
          <w:tcPr>
            <w:tcW w:w="20" w:type="dxa"/>
            <w:vAlign w:val="bottom"/>
          </w:tcPr>
          <w:p>
            <w:pPr>
              <w:spacing w:after="0"/>
              <w:rPr>
                <w:sz w:val="18"/>
                <w:szCs w:val="18"/>
                <w:color w:val="auto"/>
              </w:rPr>
            </w:pPr>
          </w:p>
        </w:tc>
        <w:tc>
          <w:tcPr>
            <w:tcW w:w="5720" w:type="dxa"/>
            <w:vAlign w:val="bottom"/>
            <w:gridSpan w:val="3"/>
          </w:tcPr>
          <w:p>
            <w:pPr>
              <w:ind w:left="120"/>
              <w:spacing w:after="0"/>
              <w:rPr>
                <w:sz w:val="20"/>
                <w:szCs w:val="20"/>
                <w:color w:val="auto"/>
              </w:rPr>
            </w:pPr>
            <w:r>
              <w:rPr>
                <w:rFonts w:ascii="Arial" w:cs="Arial" w:eastAsia="Arial" w:hAnsi="Arial"/>
                <w:sz w:val="16"/>
                <w:szCs w:val="16"/>
                <w:color w:val="auto"/>
              </w:rPr>
              <w:t>Common Equity Tier I Capital</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417,432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17.47%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167,239</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7.00%</w:t>
            </w:r>
          </w:p>
        </w:tc>
      </w:tr>
      <w:tr>
        <w:trPr>
          <w:trHeight w:val="217"/>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Tier I Leverage Capital</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417,432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136,147</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70"/>
        </w:trPr>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176"/>
        </w:trPr>
        <w:tc>
          <w:tcPr>
            <w:tcW w:w="20" w:type="dxa"/>
            <w:vAlign w:val="bottom"/>
            <w:shd w:val="clear" w:color="auto" w:fill="CCEEFF"/>
          </w:tcPr>
          <w:p>
            <w:pPr>
              <w:spacing w:after="0"/>
              <w:rPr>
                <w:sz w:val="15"/>
                <w:szCs w:val="15"/>
                <w:color w:val="auto"/>
              </w:rPr>
            </w:pPr>
          </w:p>
        </w:tc>
        <w:tc>
          <w:tcPr>
            <w:tcW w:w="572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color w:val="auto"/>
              </w:rPr>
              <w:t>December 31, 2025</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4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720" w:type="dxa"/>
            <w:vAlign w:val="bottom"/>
            <w:gridSpan w:val="3"/>
          </w:tcPr>
          <w:p>
            <w:pPr>
              <w:ind w:left="120"/>
              <w:spacing w:after="0"/>
              <w:rPr>
                <w:sz w:val="20"/>
                <w:szCs w:val="20"/>
                <w:color w:val="auto"/>
              </w:rPr>
            </w:pPr>
            <w:r>
              <w:rPr>
                <w:rFonts w:ascii="Arial" w:cs="Arial" w:eastAsia="Arial" w:hAnsi="Arial"/>
                <w:sz w:val="16"/>
                <w:szCs w:val="16"/>
                <w:color w:val="auto"/>
              </w:rPr>
              <w:t>Total Risk-Based Capital</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430,986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18.03%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250,995</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10.50%</w:t>
            </w:r>
          </w:p>
        </w:tc>
      </w:tr>
      <w:tr>
        <w:trPr>
          <w:trHeight w:val="217"/>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Tier I Risk-Based Capital</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406,945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203,186</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r>
      <w:tr>
        <w:trPr>
          <w:trHeight w:val="215"/>
        </w:trPr>
        <w:tc>
          <w:tcPr>
            <w:tcW w:w="20" w:type="dxa"/>
            <w:vAlign w:val="bottom"/>
          </w:tcPr>
          <w:p>
            <w:pPr>
              <w:spacing w:after="0"/>
              <w:rPr>
                <w:sz w:val="18"/>
                <w:szCs w:val="18"/>
                <w:color w:val="auto"/>
              </w:rPr>
            </w:pPr>
          </w:p>
        </w:tc>
        <w:tc>
          <w:tcPr>
            <w:tcW w:w="5720" w:type="dxa"/>
            <w:vAlign w:val="bottom"/>
            <w:gridSpan w:val="3"/>
          </w:tcPr>
          <w:p>
            <w:pPr>
              <w:ind w:left="120"/>
              <w:spacing w:after="0"/>
              <w:rPr>
                <w:sz w:val="20"/>
                <w:szCs w:val="20"/>
                <w:color w:val="auto"/>
              </w:rPr>
            </w:pPr>
            <w:r>
              <w:rPr>
                <w:rFonts w:ascii="Arial" w:cs="Arial" w:eastAsia="Arial" w:hAnsi="Arial"/>
                <w:sz w:val="16"/>
                <w:szCs w:val="16"/>
                <w:color w:val="auto"/>
              </w:rPr>
              <w:t>Common Equity Tier I Capital</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406,945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17.02%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167,330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7.00%</w:t>
            </w:r>
          </w:p>
        </w:tc>
      </w:tr>
      <w:tr>
        <w:trPr>
          <w:trHeight w:val="217"/>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Tier I Leverage Capital</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406,945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133,321</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r>
    </w:tbl>
    <w:p>
      <w:pPr>
        <w:spacing w:after="0" w:line="202"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Capital amounts and ratios for the Bank as of March 31, 2026 and December 31, 2025, are presented in the following table (Basel III Minimum includes the capital conservation buffer):</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ind w:left="200"/>
              <w:spacing w:after="0"/>
              <w:rPr>
                <w:sz w:val="20"/>
                <w:szCs w:val="20"/>
                <w:color w:val="auto"/>
              </w:rPr>
            </w:pPr>
            <w:r>
              <w:rPr>
                <w:rFonts w:ascii="Arial" w:cs="Arial" w:eastAsia="Arial" w:hAnsi="Arial"/>
                <w:sz w:val="16"/>
                <w:szCs w:val="16"/>
                <w:b w:val="1"/>
                <w:bCs w:val="1"/>
                <w:color w:val="auto"/>
              </w:rPr>
              <w:t>Regulatory Requirements</w:t>
            </w:r>
          </w:p>
        </w:tc>
        <w:tc>
          <w:tcPr>
            <w:tcW w:w="1140" w:type="dxa"/>
            <w:vAlign w:val="bottom"/>
            <w:tcBorders>
              <w:bottom w:val="single" w:sz="8" w:color="auto"/>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ind w:left="720"/>
              <w:spacing w:after="0"/>
              <w:rPr>
                <w:sz w:val="20"/>
                <w:szCs w:val="20"/>
                <w:color w:val="auto"/>
              </w:rPr>
            </w:pPr>
            <w:r>
              <w:rPr>
                <w:rFonts w:ascii="Arial" w:cs="Arial" w:eastAsia="Arial" w:hAnsi="Arial"/>
                <w:sz w:val="16"/>
                <w:szCs w:val="16"/>
                <w:b w:val="1"/>
                <w:bCs w:val="1"/>
                <w:color w:val="auto"/>
              </w:rPr>
              <w:t>Actual</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gridSpan w:val="4"/>
          </w:tcPr>
          <w:p>
            <w:pPr>
              <w:ind w:left="300"/>
              <w:spacing w:after="0"/>
              <w:rPr>
                <w:sz w:val="20"/>
                <w:szCs w:val="20"/>
                <w:color w:val="auto"/>
              </w:rPr>
            </w:pPr>
            <w:r>
              <w:rPr>
                <w:rFonts w:ascii="Arial" w:cs="Arial" w:eastAsia="Arial" w:hAnsi="Arial"/>
                <w:sz w:val="16"/>
                <w:szCs w:val="16"/>
                <w:b w:val="1"/>
                <w:bCs w:val="1"/>
                <w:color w:val="auto"/>
              </w:rPr>
              <w:t>Basel III Minimum</w:t>
            </w:r>
          </w:p>
        </w:tc>
        <w:tc>
          <w:tcPr>
            <w:tcW w:w="160" w:type="dxa"/>
            <w:vAlign w:val="bottom"/>
          </w:tcPr>
          <w:p>
            <w:pPr>
              <w:spacing w:after="0"/>
              <w:rPr>
                <w:sz w:val="18"/>
                <w:szCs w:val="18"/>
                <w:color w:val="auto"/>
              </w:rPr>
            </w:pPr>
          </w:p>
        </w:tc>
        <w:tc>
          <w:tcPr>
            <w:tcW w:w="2120" w:type="dxa"/>
            <w:vAlign w:val="bottom"/>
            <w:gridSpan w:val="3"/>
          </w:tcPr>
          <w:p>
            <w:pPr>
              <w:jc w:val="right"/>
              <w:ind w:right="379"/>
              <w:spacing w:after="0" w:line="210" w:lineRule="exact"/>
              <w:rPr>
                <w:sz w:val="20"/>
                <w:szCs w:val="20"/>
                <w:color w:val="auto"/>
              </w:rPr>
            </w:pPr>
            <w:r>
              <w:rPr>
                <w:rFonts w:ascii="Arial" w:cs="Arial" w:eastAsia="Arial" w:hAnsi="Arial"/>
                <w:sz w:val="16"/>
                <w:szCs w:val="16"/>
                <w:b w:val="1"/>
                <w:bCs w:val="1"/>
                <w:color w:val="auto"/>
              </w:rPr>
              <w:t>Well-Capitalized</w:t>
            </w:r>
            <w:r>
              <w:rPr>
                <w:rFonts w:ascii="Arial" w:cs="Arial" w:eastAsia="Arial" w:hAnsi="Arial"/>
                <w:sz w:val="21"/>
                <w:szCs w:val="21"/>
                <w:b w:val="1"/>
                <w:bCs w:val="1"/>
                <w:color w:val="auto"/>
                <w:vertAlign w:val="superscript"/>
              </w:rPr>
              <w:t>(1)</w:t>
            </w:r>
          </w:p>
        </w:tc>
      </w:tr>
      <w:tr>
        <w:trPr>
          <w:trHeight w:val="209"/>
        </w:trPr>
        <w:tc>
          <w:tcPr>
            <w:tcW w:w="2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82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Ratio</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14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Ratio</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14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Ratio</w:t>
            </w: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CCEEFF"/>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March 31, 2026</w:t>
            </w:r>
          </w:p>
        </w:tc>
        <w:tc>
          <w:tcPr>
            <w:tcW w:w="30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4180" w:type="dxa"/>
            <w:vAlign w:val="bottom"/>
            <w:gridSpan w:val="3"/>
          </w:tcPr>
          <w:p>
            <w:pPr>
              <w:ind w:left="120"/>
              <w:spacing w:after="0"/>
              <w:rPr>
                <w:sz w:val="20"/>
                <w:szCs w:val="20"/>
                <w:color w:val="auto"/>
              </w:rPr>
            </w:pPr>
            <w:r>
              <w:rPr>
                <w:rFonts w:ascii="Arial" w:cs="Arial" w:eastAsia="Arial" w:hAnsi="Arial"/>
                <w:sz w:val="16"/>
                <w:szCs w:val="16"/>
                <w:color w:val="auto"/>
              </w:rPr>
              <w:t>Total Risk-Based Capital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432,849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18.12%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250,772</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10.50%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238,830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7"/>
        </w:trPr>
        <w:tc>
          <w:tcPr>
            <w:tcW w:w="20" w:type="dxa"/>
            <w:vAlign w:val="bottom"/>
            <w:shd w:val="clear" w:color="auto" w:fill="CCEEFF"/>
          </w:tcPr>
          <w:p>
            <w:pPr>
              <w:spacing w:after="0"/>
              <w:rPr>
                <w:sz w:val="18"/>
                <w:szCs w:val="18"/>
                <w:color w:val="auto"/>
              </w:rPr>
            </w:pPr>
          </w:p>
        </w:tc>
        <w:tc>
          <w:tcPr>
            <w:tcW w:w="41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Tier I Risk-Based Capital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408,156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203,006</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191,064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r>
      <w:tr>
        <w:trPr>
          <w:trHeight w:val="215"/>
        </w:trPr>
        <w:tc>
          <w:tcPr>
            <w:tcW w:w="20" w:type="dxa"/>
            <w:vAlign w:val="bottom"/>
          </w:tcPr>
          <w:p>
            <w:pPr>
              <w:spacing w:after="0"/>
              <w:rPr>
                <w:sz w:val="18"/>
                <w:szCs w:val="18"/>
                <w:color w:val="auto"/>
              </w:rPr>
            </w:pPr>
          </w:p>
        </w:tc>
        <w:tc>
          <w:tcPr>
            <w:tcW w:w="4180" w:type="dxa"/>
            <w:vAlign w:val="bottom"/>
            <w:gridSpan w:val="3"/>
          </w:tcPr>
          <w:p>
            <w:pPr>
              <w:ind w:left="120"/>
              <w:spacing w:after="0"/>
              <w:rPr>
                <w:sz w:val="20"/>
                <w:szCs w:val="20"/>
                <w:color w:val="auto"/>
              </w:rPr>
            </w:pPr>
            <w:r>
              <w:rPr>
                <w:rFonts w:ascii="Arial" w:cs="Arial" w:eastAsia="Arial" w:hAnsi="Arial"/>
                <w:sz w:val="16"/>
                <w:szCs w:val="16"/>
                <w:color w:val="auto"/>
              </w:rPr>
              <w:t>Common Equity Tier I Capital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408,156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17.09%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167,181</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155,240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6.50%</w:t>
            </w:r>
          </w:p>
        </w:tc>
      </w:tr>
      <w:tr>
        <w:trPr>
          <w:trHeight w:val="217"/>
        </w:trPr>
        <w:tc>
          <w:tcPr>
            <w:tcW w:w="20" w:type="dxa"/>
            <w:vAlign w:val="bottom"/>
            <w:shd w:val="clear" w:color="auto" w:fill="CCEEFF"/>
          </w:tcPr>
          <w:p>
            <w:pPr>
              <w:spacing w:after="0"/>
              <w:rPr>
                <w:sz w:val="18"/>
                <w:szCs w:val="18"/>
                <w:color w:val="auto"/>
              </w:rPr>
            </w:pPr>
          </w:p>
        </w:tc>
        <w:tc>
          <w:tcPr>
            <w:tcW w:w="41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Tier I Leverage Capital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408,156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136,099</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170,124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57"/>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175"/>
        </w:trPr>
        <w:tc>
          <w:tcPr>
            <w:tcW w:w="20" w:type="dxa"/>
            <w:vAlign w:val="bottom"/>
            <w:shd w:val="clear" w:color="auto" w:fill="CCEEFF"/>
          </w:tcPr>
          <w:p>
            <w:pPr>
              <w:spacing w:after="0"/>
              <w:rPr>
                <w:sz w:val="15"/>
                <w:szCs w:val="15"/>
                <w:color w:val="auto"/>
              </w:rPr>
            </w:pPr>
          </w:p>
        </w:tc>
        <w:tc>
          <w:tcPr>
            <w:tcW w:w="418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color w:val="auto"/>
              </w:rPr>
              <w:t>December 31, 2025</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3"/>
          </w:tcPr>
          <w:p>
            <w:pPr>
              <w:ind w:left="120"/>
              <w:spacing w:after="0"/>
              <w:rPr>
                <w:sz w:val="20"/>
                <w:szCs w:val="20"/>
                <w:color w:val="auto"/>
              </w:rPr>
            </w:pPr>
            <w:r>
              <w:rPr>
                <w:rFonts w:ascii="Arial" w:cs="Arial" w:eastAsia="Arial" w:hAnsi="Arial"/>
                <w:sz w:val="16"/>
                <w:szCs w:val="16"/>
                <w:color w:val="auto"/>
              </w:rPr>
              <w:t>Total Risk-Based Capital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421,929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17.66%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250,916</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10.50%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238,968</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7"/>
        </w:trPr>
        <w:tc>
          <w:tcPr>
            <w:tcW w:w="20" w:type="dxa"/>
            <w:vAlign w:val="bottom"/>
            <w:shd w:val="clear" w:color="auto" w:fill="CCEEFF"/>
          </w:tcPr>
          <w:p>
            <w:pPr>
              <w:spacing w:after="0"/>
              <w:rPr>
                <w:sz w:val="18"/>
                <w:szCs w:val="18"/>
                <w:color w:val="auto"/>
              </w:rPr>
            </w:pPr>
          </w:p>
        </w:tc>
        <w:tc>
          <w:tcPr>
            <w:tcW w:w="41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Tier I Risk-Based Capital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397,888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203,123</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191,174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r>
      <w:tr>
        <w:trPr>
          <w:trHeight w:val="215"/>
        </w:trPr>
        <w:tc>
          <w:tcPr>
            <w:tcW w:w="20" w:type="dxa"/>
            <w:vAlign w:val="bottom"/>
          </w:tcPr>
          <w:p>
            <w:pPr>
              <w:spacing w:after="0"/>
              <w:rPr>
                <w:sz w:val="18"/>
                <w:szCs w:val="18"/>
                <w:color w:val="auto"/>
              </w:rPr>
            </w:pPr>
          </w:p>
        </w:tc>
        <w:tc>
          <w:tcPr>
            <w:tcW w:w="4180" w:type="dxa"/>
            <w:vAlign w:val="bottom"/>
            <w:gridSpan w:val="3"/>
          </w:tcPr>
          <w:p>
            <w:pPr>
              <w:ind w:left="120"/>
              <w:spacing w:after="0"/>
              <w:rPr>
                <w:sz w:val="20"/>
                <w:szCs w:val="20"/>
                <w:color w:val="auto"/>
              </w:rPr>
            </w:pPr>
            <w:r>
              <w:rPr>
                <w:rFonts w:ascii="Arial" w:cs="Arial" w:eastAsia="Arial" w:hAnsi="Arial"/>
                <w:sz w:val="16"/>
                <w:szCs w:val="16"/>
                <w:color w:val="auto"/>
              </w:rPr>
              <w:t>Common Equity Tier I Capital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397,888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16.65%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167,277</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155,329</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6.50%</w:t>
            </w:r>
          </w:p>
        </w:tc>
      </w:tr>
      <w:tr>
        <w:trPr>
          <w:trHeight w:val="217"/>
        </w:trPr>
        <w:tc>
          <w:tcPr>
            <w:tcW w:w="20" w:type="dxa"/>
            <w:vAlign w:val="bottom"/>
            <w:shd w:val="clear" w:color="auto" w:fill="CCEEFF"/>
          </w:tcPr>
          <w:p>
            <w:pPr>
              <w:spacing w:after="0"/>
              <w:rPr>
                <w:sz w:val="18"/>
                <w:szCs w:val="18"/>
                <w:color w:val="auto"/>
              </w:rPr>
            </w:pPr>
          </w:p>
        </w:tc>
        <w:tc>
          <w:tcPr>
            <w:tcW w:w="41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Tier I Leverage Capital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397,888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133,274</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166,593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bl>
    <w:p>
      <w:pPr>
        <w:spacing w:after="0" w:line="45"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This column refers to the prompt corrective action requirements applicable to banks.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Community Bank Leverage Ratio Framework</w:t>
      </w:r>
    </w:p>
    <w:p>
      <w:pPr>
        <w:spacing w:after="0" w:line="125"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color w:val="auto"/>
        </w:rPr>
        <w:t>As part of the Economic Growth Act, an optional CBLR framework is available to the Company and the Bank as an alternative to the Basel III risk-based capital framework. The CBLR framework provides for a simple measure of capital adequacy for certain community banking organizations. Specifically, depository institutions and depository institution holding companies that have less than $10.0 billion in total consolidated assets and meet other qualifying criteria, including a Tier 1 leverage ratio of greater than 9.00%, are considered qualifying community banking organizations eligible to opt into the CBLR framework and replace the applicable Basel III risk-based capital requirements. In April 2026, the federal banking agencies issued a final rule that, among other things, lowered the 9.00% leverage ratio requirement to 8.00%.</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2026, the Company and the Bank qualify for the CBLR framework. Management does not intend to utilize the CBLR framework.</w:t>
      </w:r>
    </w:p>
    <w:p>
      <w:pPr>
        <w:spacing w:after="0" w:line="140"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Equity</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Stock Repurchases</w:t>
      </w:r>
    </w:p>
    <w:p>
      <w:pPr>
        <w:spacing w:after="0" w:line="125"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On December 18, 2025, the Company’s board of directors approved the renewal and increase of the 2025 stock repurchase program that expired on December 31, 2025. The renewed and increased 2026 stock repurchase program authorizes the Company to purchase up to $10.0 million of its outstanding shares of common stock from January 1, 2026</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360"/>
        <w:spacing w:after="0" w:line="304" w:lineRule="auto"/>
        <w:rPr>
          <w:sz w:val="20"/>
          <w:szCs w:val="20"/>
          <w:color w:val="auto"/>
        </w:rPr>
      </w:pPr>
      <w:r>
        <w:rPr>
          <w:rFonts w:ascii="Arial" w:cs="Arial" w:eastAsia="Arial" w:hAnsi="Arial"/>
          <w:sz w:val="16"/>
          <w:szCs w:val="16"/>
          <w:color w:val="auto"/>
        </w:rPr>
        <w:t>through December 31, 2026. Repurchases may be made from time to time in the open market at prevailing prices and based on market conditions, or in privately negotiated transactions.</w:t>
      </w:r>
    </w:p>
    <w:p>
      <w:pPr>
        <w:spacing w:after="0" w:line="47"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For the three months ended March 31, 2026, the Company did not repurchase any shares of its common stock under the stock repurchase program. As of March 31, 2026, the Company had $10.0 million available for repurchasing its common stock under the 2026 stock repurchase program.</w:t>
      </w:r>
    </w:p>
    <w:p>
      <w:pPr>
        <w:spacing w:after="0" w:line="60"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Effective January 1, 2023, stock repurchases are subject to a nondeductible excise tax under the Inflation Reduction Act of 2022 equal to 1.0% of the fair market value of the shares repurchased, subject to certain limitations.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AOCI - Transfer of Unrealized Gain (Loss) of Securities AFS and HTM</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In 2022, the Company reclassified $166.3 million, net of $17.9 million of unrealized loss, from securities AFS to securities HTM. The securities were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transferred at fair value, which became the cost basis for the securities HTM. At the date of the transfer, the net unrealized loss of $17.9 million, of which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$14.2 million, net of tax, was included in AOCI and is being amortized over the remaining life of the securities as a yield adjustment, in a manner consistent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with the amortization or accretion of the original purchase premium or discount on the associated security. There were no gains or losses recognized as 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result of the transfer. As of March 31, 2026, the net unamortized, unrealized loss remaining on the transferred securities included in the consolidated balance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sheets totaled $11.4 million, of which $9.0 million, net of tax, was included in AOCI.</w:t>
      </w:r>
    </w:p>
    <w:p>
      <w:pPr>
        <w:spacing w:after="0" w:line="124"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Earnings Per Common Share</w:t>
      </w:r>
    </w:p>
    <w:p>
      <w:pPr>
        <w:spacing w:after="0" w:line="140"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Basic EPS is computed by dividing net income available to common stockholders by the weighted average number of common shares outstanding during the period, after giving retroactive effect to stock splits. Diluted EPS includes accrued but unissued shares relating to the Director Compensation Program, stock options, and restricted stock determined using the treasury stock method. The dilutive EPS calculation assumes all outstanding stock options to purchase common stock have been exercised at the beginning of the year, and the pro forma proceeds from the exercised options and restricted stock are used to purchase common stock at the average fair market valuation price.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60" w:type="dxa"/>
            <w:vAlign w:val="bottom"/>
          </w:tcPr>
          <w:p>
            <w:pPr>
              <w:spacing w:after="0"/>
              <w:rPr>
                <w:sz w:val="20"/>
                <w:szCs w:val="20"/>
                <w:color w:val="auto"/>
              </w:rPr>
            </w:pPr>
            <w:r>
              <w:rPr>
                <w:rFonts w:ascii="Arial" w:cs="Arial" w:eastAsia="Arial" w:hAnsi="Arial"/>
                <w:sz w:val="16"/>
                <w:szCs w:val="16"/>
                <w:color w:val="auto"/>
              </w:rPr>
              <w:t>The computations of basic and diluted earnings per common share for the Company were as follows: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86"/>
        </w:trPr>
        <w:tc>
          <w:tcPr>
            <w:tcW w:w="8160" w:type="dxa"/>
            <w:vAlign w:val="bottom"/>
          </w:tcPr>
          <w:p>
            <w:pPr>
              <w:spacing w:after="0"/>
              <w:rPr>
                <w:sz w:val="24"/>
                <w:szCs w:val="24"/>
                <w:color w:val="auto"/>
              </w:rPr>
            </w:pPr>
          </w:p>
        </w:tc>
        <w:tc>
          <w:tcPr>
            <w:tcW w:w="308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For the Three Months Ended March 31,</w:t>
            </w:r>
          </w:p>
        </w:tc>
      </w:tr>
      <w:tr>
        <w:trPr>
          <w:trHeight w:val="21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 except share amounts)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r>
      <w:tr>
        <w:trPr>
          <w:trHeight w:val="196"/>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6"/>
        </w:trPr>
        <w:tc>
          <w:tcPr>
            <w:tcW w:w="8160" w:type="dxa"/>
            <w:vAlign w:val="bottom"/>
          </w:tcPr>
          <w:p>
            <w:pPr>
              <w:ind w:left="220"/>
              <w:spacing w:after="0"/>
              <w:rPr>
                <w:sz w:val="20"/>
                <w:szCs w:val="20"/>
                <w:color w:val="auto"/>
              </w:rPr>
            </w:pPr>
            <w:r>
              <w:rPr>
                <w:rFonts w:ascii="Arial" w:cs="Arial" w:eastAsia="Arial" w:hAnsi="Arial"/>
                <w:sz w:val="16"/>
                <w:szCs w:val="16"/>
                <w:color w:val="auto"/>
              </w:rPr>
              <w:t>Net income - basic</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11,971</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10,352</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5"/>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income - diluted</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11,971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10,352</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Denominator: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5"/>
        </w:trPr>
        <w:tc>
          <w:tcPr>
            <w:tcW w:w="8160" w:type="dxa"/>
            <w:vAlign w:val="bottom"/>
          </w:tcPr>
          <w:p>
            <w:pPr>
              <w:ind w:left="220"/>
              <w:spacing w:after="0"/>
              <w:rPr>
                <w:sz w:val="20"/>
                <w:szCs w:val="20"/>
                <w:color w:val="auto"/>
              </w:rPr>
            </w:pPr>
            <w:r>
              <w:rPr>
                <w:rFonts w:ascii="Arial" w:cs="Arial" w:eastAsia="Arial" w:hAnsi="Arial"/>
                <w:sz w:val="16"/>
                <w:szCs w:val="16"/>
                <w:color w:val="auto"/>
              </w:rPr>
              <w:t>Weighted average shares outstanding - basic</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6,576,994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6,777,332</w:t>
            </w:r>
          </w:p>
        </w:tc>
      </w:tr>
      <w:tr>
        <w:trPr>
          <w:trHeight w:val="217"/>
        </w:trPr>
        <w:tc>
          <w:tcPr>
            <w:tcW w:w="8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Plus: Effect of Director Compensation Program</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r>
      <w:tr>
        <w:trPr>
          <w:trHeight w:val="215"/>
        </w:trPr>
        <w:tc>
          <w:tcPr>
            <w:tcW w:w="81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Plus: Effect of restricted stock</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32,081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19,056</w:t>
            </w:r>
          </w:p>
        </w:tc>
      </w:tr>
      <w:tr>
        <w:trPr>
          <w:trHeight w:val="235"/>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Weighted average shares outstanding - diluted</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6,609,208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6,796,707</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common share: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160" w:type="dxa"/>
            <w:vAlign w:val="bottom"/>
          </w:tcPr>
          <w:p>
            <w:pPr>
              <w:ind w:left="22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5"/>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Segment Reporting</w:t>
      </w:r>
    </w:p>
    <w:p>
      <w:pPr>
        <w:spacing w:after="0" w:line="140"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Company is engaged primarily in providing a fully integrated suite of banking products and services consistently across all of its markets. The CODM assesses performance and decides how to allocate resources based on net income as reported in the accompanying consolidated statements of income. While the CODM monitors the revenue streams of the various banking products, services, and markets, banking operations are managed and financial performance is evaluated on a company-wide basis. Accordingly, all of the Company’s banking operations are considered by management to be aggregated in one reportable operating segment.</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20"/>
                <w:szCs w:val="20"/>
                <w:color w:val="auto"/>
              </w:rPr>
            </w:pPr>
            <w:r>
              <w:rPr>
                <w:rFonts w:ascii="Arial" w:cs="Arial" w:eastAsia="Arial" w:hAnsi="Arial"/>
                <w:sz w:val="16"/>
                <w:szCs w:val="16"/>
                <w:color w:val="auto"/>
              </w:rPr>
              <w:t>Financial results for the banking operations segment are presented in the table below:</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67"/>
        </w:trPr>
        <w:tc>
          <w:tcPr>
            <w:tcW w:w="8100" w:type="dxa"/>
            <w:vAlign w:val="bottom"/>
          </w:tcPr>
          <w:p>
            <w:pPr>
              <w:spacing w:after="0"/>
              <w:rPr>
                <w:sz w:val="24"/>
                <w:szCs w:val="24"/>
                <w:color w:val="auto"/>
              </w:rPr>
            </w:pPr>
          </w:p>
        </w:tc>
        <w:tc>
          <w:tcPr>
            <w:tcW w:w="314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6"/>
                <w:szCs w:val="16"/>
                <w:b w:val="1"/>
                <w:bCs w:val="1"/>
                <w:color w:val="auto"/>
              </w:rPr>
              <w:t>For the Three Months Ended March 31,</w:t>
            </w:r>
          </w:p>
        </w:tc>
      </w:tr>
      <w:tr>
        <w:trPr>
          <w:trHeight w:val="20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10"/>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dividend income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35,808</w:t>
            </w: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10,741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11,198</w:t>
            </w:r>
          </w:p>
        </w:tc>
      </w:tr>
      <w:tr>
        <w:trPr>
          <w:trHeight w:val="21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credit losses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auto"/>
              </w:rPr>
              <w:t>Noninterest income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5,272</w:t>
            </w:r>
          </w:p>
        </w:tc>
      </w:tr>
      <w:tr>
        <w:trPr>
          <w:trHeight w:val="21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w:t>
            </w:r>
          </w:p>
        </w:tc>
      </w:tr>
      <w:tr>
        <w:trPr>
          <w:trHeight w:val="215"/>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operating expenses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16,334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15,737</w:t>
            </w:r>
          </w:p>
        </w:tc>
      </w:tr>
      <w:tr>
        <w:trPr>
          <w:trHeight w:val="210"/>
        </w:trPr>
        <w:tc>
          <w:tcPr>
            <w:tcW w:w="81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Income before income tax expense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12,844</w:t>
            </w:r>
          </w:p>
        </w:tc>
      </w:tr>
      <w:tr>
        <w:trPr>
          <w:trHeight w:val="215"/>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expense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2,492</w:t>
            </w:r>
          </w:p>
        </w:tc>
      </w:tr>
      <w:tr>
        <w:trPr>
          <w:trHeight w:val="210"/>
        </w:trPr>
        <w:tc>
          <w:tcPr>
            <w:tcW w:w="81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Segment net income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10,352</w:t>
            </w: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auto"/>
              </w:rPr>
              <w:t>Adjustments and reconciling items</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81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Consolidated net income</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10,352</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Banking operations segment assets were $3.35 billion as of March 31, 2026 and December 31, 2025.</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40"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The purpose of this discussion and analysis is to focus on significant changes in the financial condition of Red River Bancshares, Inc. on a consolidated basis from December 31, 2025 through March 31, 2026, and on our results of operations for the quarters ended March 31, 2026 and December 31, 2025, and for the three months ended March 31, 2026 and March 31, 2025.</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This discussion and analysis should be read in conjunction with our audited consolidated financial statements and notes thereto for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2025, included in our Annual Report on Form 10-K for the year ended December 31, 2025, and information presented elsewhere in this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Report, particularly the unaudited consolidated financial statements and related notes appearing in Item 1.</w:t>
      </w:r>
    </w:p>
    <w:p>
      <w:pPr>
        <w:spacing w:after="0" w:line="12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following discussion contains forward-looking statements that reflect our current views with respect to, among other things, future events and our financial performance. We caution that assumptions, expectations, projections, intentions, or beliefs about future events may, and often do, vary from actual results and the differences can be material. See “Cautionary Note Regarding Forward-Looking Statements” and “Part II - Item 1A. Risk Factors” in this Report. Also, see risk factors and other cautionary statements described in “Part I - Item 1A. Risk Factors” included in our Annual Report on Form 10-K for the year ended December 31, 2025.</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SUMMARY</w:t>
      </w:r>
    </w:p>
    <w:p>
      <w:pPr>
        <w:spacing w:after="0" w:line="14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Red River Bancshares, Inc. is the bank holding company for Red River Bank, a Louisiana state-chartered bank established in 1999 that provides a fully integrated suite of banking products and services tailored to the needs of our commercial and retail customers. Red River Bank operates from a network of 28 banking centers throughout Louisiana and two combined LDPOs, one each in New Orleans, Louisiana and Lafayette, Louisiana. Banking centers are located in the following Louisiana markets: Central, which includes the Alexandria MSA; Northwest, which includes the Shreveport-Bossier City MSA; Capital, which includes the Baton Rouge MSA; Southwest, which includes the Lake Charles MSA; the Northshore, which includes the Slidell-Mandeville-Covington MSA; Acadiana, which includes the Lafayette MSA; and New Orleans, which includes the New Orleans-Metairie MSA.</w:t>
      </w:r>
    </w:p>
    <w:p>
      <w:pPr>
        <w:spacing w:after="0" w:line="95"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 xml:space="preserve">Our priority is to drive shareholder value through the establishment of a market-leading commercial banking franchise based in Louisiana. We provide our services through relationship-oriented bankers who are committed to their customers and the communities where we offer our products and services. Our strategy is to expand market share in existing markets and engage in opportunistic new market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expansion, supplemented by strategic acquisitions of financial institutions with customer-oriented, compatible philosophies located in desirable geographic areas.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FIRST QUARTER 2026 FINANCIAL AND OPERATIONAL HIGHLIGHTS</w:t>
      </w:r>
    </w:p>
    <w:p>
      <w:pPr>
        <w:spacing w:after="0" w:line="127" w:lineRule="exact"/>
        <w:rPr>
          <w:sz w:val="20"/>
          <w:szCs w:val="20"/>
          <w:color w:val="auto"/>
        </w:rPr>
      </w:pPr>
    </w:p>
    <w:p>
      <w:pPr>
        <w:ind w:right="420"/>
        <w:spacing w:after="0" w:line="304" w:lineRule="auto"/>
        <w:rPr>
          <w:sz w:val="20"/>
          <w:szCs w:val="20"/>
          <w:color w:val="auto"/>
        </w:rPr>
      </w:pPr>
      <w:r>
        <w:rPr>
          <w:rFonts w:ascii="Arial" w:cs="Arial" w:eastAsia="Arial" w:hAnsi="Arial"/>
          <w:sz w:val="16"/>
          <w:szCs w:val="16"/>
          <w:color w:val="auto"/>
        </w:rPr>
        <w:t>In the first quarter of 2026, we had record-high quarterly net income and a consistent balance sheet. We increased the quarterly cash dividend paid to shareholders by $0.10 per share, or 66.7%, to $0.25 per share for the first quarter of 2026, compared to $0.15 per share for the prior two quarters.</w:t>
      </w:r>
    </w:p>
    <w:p>
      <w:pPr>
        <w:spacing w:after="0" w:line="47" w:lineRule="exact"/>
        <w:rPr>
          <w:sz w:val="20"/>
          <w:szCs w:val="20"/>
          <w:color w:val="auto"/>
        </w:rPr>
      </w:pPr>
    </w:p>
    <w:p>
      <w:pPr>
        <w:jc w:val="both"/>
        <w:ind w:left="660" w:right="200" w:hanging="328"/>
        <w:spacing w:after="0" w:line="275" w:lineRule="auto"/>
        <w:tabs>
          <w:tab w:leader="none" w:pos="649" w:val="left"/>
        </w:tabs>
        <w:numPr>
          <w:ilvl w:val="0"/>
          <w:numId w:val="16"/>
        </w:numPr>
        <w:rPr>
          <w:rFonts w:ascii="Arial" w:cs="Arial" w:eastAsia="Arial" w:hAnsi="Arial"/>
          <w:sz w:val="16"/>
          <w:szCs w:val="16"/>
          <w:i w:val="1"/>
          <w:iCs w:val="1"/>
          <w:color w:val="auto"/>
        </w:rPr>
      </w:pPr>
      <w:r>
        <w:rPr>
          <w:rFonts w:ascii="Arial" w:cs="Arial" w:eastAsia="Arial" w:hAnsi="Arial"/>
          <w:sz w:val="16"/>
          <w:szCs w:val="16"/>
          <w:color w:val="auto"/>
        </w:rPr>
        <w:t>Net income for the first quarter of 2026 was $12.0 million, or $1.81 diluted EPS, an increase of $556,000, or 4.9%, compared to $11.4 million, or $1.73 diluted EPS, for the fourth quarter of 2025. Net income for the first quarter was impacted by approximately $590,000 of periodic items that reduced operating expenses. These operating expense reductions benefited EPS by $0.07.</w:t>
      </w:r>
    </w:p>
    <w:p>
      <w:pPr>
        <w:spacing w:after="0" w:line="83" w:lineRule="exact"/>
        <w:rPr>
          <w:rFonts w:ascii="Arial" w:cs="Arial" w:eastAsia="Arial" w:hAnsi="Arial"/>
          <w:sz w:val="16"/>
          <w:szCs w:val="16"/>
          <w:i w:val="1"/>
          <w:iCs w:val="1"/>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 the first quarter of 2026, the return on assets was 1.44%, and the return on equity was 12.95%.</w:t>
      </w:r>
    </w:p>
    <w:p>
      <w:pPr>
        <w:spacing w:after="0" w:line="140"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Net interest income increased slightly, and net interest margin FTE was consistent at 3.51% for the first quarter of 2026 and the prior quarter.</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Assets remained consistent at $3.35 billion as of March 31, 2026 and December 31, 2025.</w:t>
      </w:r>
    </w:p>
    <w:p>
      <w:pPr>
        <w:spacing w:after="0" w:line="140" w:lineRule="exact"/>
        <w:rPr>
          <w:rFonts w:ascii="Arial" w:cs="Arial" w:eastAsia="Arial" w:hAnsi="Arial"/>
          <w:sz w:val="16"/>
          <w:szCs w:val="16"/>
          <w:color w:val="auto"/>
        </w:rPr>
      </w:pPr>
    </w:p>
    <w:p>
      <w:pPr>
        <w:ind w:left="660" w:right="300" w:hanging="328"/>
        <w:spacing w:after="0" w:line="286"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Loans HFI were $2.25 billion as of March 31, 2026 and December 31, 2025. In the first quarter of 2026, new loan originations and construction commitment fundings were offset by payments and payoffs.</w:t>
      </w:r>
    </w:p>
    <w:p>
      <w:pPr>
        <w:spacing w:after="0" w:line="74" w:lineRule="exact"/>
        <w:rPr>
          <w:rFonts w:ascii="Arial" w:cs="Arial" w:eastAsia="Arial" w:hAnsi="Arial"/>
          <w:sz w:val="16"/>
          <w:szCs w:val="16"/>
          <w:color w:val="auto"/>
        </w:rPr>
      </w:pPr>
    </w:p>
    <w:p>
      <w:pPr>
        <w:ind w:left="660" w:right="20" w:hanging="328"/>
        <w:spacing w:after="0" w:line="304"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Deposits totaled $2.95 billion as of March 31, 2026, a decrease of $17.5 million, or 0.6%, compared to $2.96 billion as of December 31, 2025. This decrease was primarily due to the seasonal outflow of funds from public entity customers exceeding increased commercial deposits.</w:t>
      </w:r>
    </w:p>
    <w:p>
      <w:pPr>
        <w:spacing w:after="0" w:line="46" w:lineRule="exact"/>
        <w:rPr>
          <w:rFonts w:ascii="Arial" w:cs="Arial" w:eastAsia="Arial" w:hAnsi="Arial"/>
          <w:sz w:val="16"/>
          <w:szCs w:val="16"/>
          <w:color w:val="auto"/>
        </w:rPr>
      </w:pPr>
    </w:p>
    <w:p>
      <w:pPr>
        <w:ind w:left="660" w:right="200" w:hanging="328"/>
        <w:spacing w:after="0" w:line="275" w:lineRule="auto"/>
        <w:tabs>
          <w:tab w:leader="none" w:pos="649" w:val="left"/>
        </w:tabs>
        <w:numPr>
          <w:ilvl w:val="0"/>
          <w:numId w:val="16"/>
        </w:numPr>
        <w:rPr>
          <w:rFonts w:ascii="Arial" w:cs="Arial" w:eastAsia="Arial" w:hAnsi="Arial"/>
          <w:sz w:val="16"/>
          <w:szCs w:val="16"/>
          <w:i w:val="1"/>
          <w:iCs w:val="1"/>
          <w:color w:val="auto"/>
        </w:rPr>
      </w:pPr>
      <w:r>
        <w:rPr>
          <w:rFonts w:ascii="Arial" w:cs="Arial" w:eastAsia="Arial" w:hAnsi="Arial"/>
          <w:sz w:val="16"/>
          <w:szCs w:val="16"/>
          <w:color w:val="auto"/>
        </w:rPr>
        <w:t>On February 26, 2026, our board of directors announced that the cash dividend for the first quarter of 2026 would be $0.25 per common share, which was a 66.7% increase from $0.15 per common share paid for each of the third and fourth quarters of 2025. In the first quarter of 2026, we paid the quarterly cash dividend of $0.25 per common share.</w:t>
      </w:r>
    </w:p>
    <w:p>
      <w:pPr>
        <w:spacing w:after="0" w:line="83" w:lineRule="exact"/>
        <w:rPr>
          <w:rFonts w:ascii="Arial" w:cs="Arial" w:eastAsia="Arial" w:hAnsi="Arial"/>
          <w:sz w:val="16"/>
          <w:szCs w:val="16"/>
          <w:i w:val="1"/>
          <w:iCs w:val="1"/>
          <w:color w:val="auto"/>
        </w:rPr>
      </w:pPr>
    </w:p>
    <w:p>
      <w:pPr>
        <w:ind w:left="660" w:right="320" w:hanging="328"/>
        <w:spacing w:after="0" w:line="275"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2026 stock repurchase program authorizes us to purchase up to $10.0 million of our outstanding shares of common stock from January 1, 2026 through December 31, 2026. There was no stock repurchase activity in the first quarter of 2026. As of March 31, 2026, the 2026 stock repurchase program had $10.0 million of available capacity.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6"/>
          <w:szCs w:val="16"/>
          <w:i w:val="1"/>
          <w:iCs w:val="1"/>
          <w:color w:val="auto"/>
        </w:rPr>
      </w:pPr>
      <w:r>
        <w:rPr>
          <w:rFonts w:ascii="Arial" w:cs="Arial" w:eastAsia="Arial" w:hAnsi="Arial"/>
          <w:sz w:val="16"/>
          <w:szCs w:val="16"/>
          <w:color w:val="auto"/>
        </w:rPr>
        <w:t>We continue to implement our organic expansion plan. The following construction projects are in process:</w:t>
      </w:r>
    </w:p>
    <w:p>
      <w:pPr>
        <w:spacing w:after="0" w:line="140" w:lineRule="exact"/>
        <w:rPr>
          <w:rFonts w:ascii="Arial" w:cs="Arial" w:eastAsia="Arial" w:hAnsi="Arial"/>
          <w:sz w:val="16"/>
          <w:szCs w:val="16"/>
          <w:i w:val="1"/>
          <w:iCs w:val="1"/>
          <w:color w:val="auto"/>
        </w:rPr>
      </w:pPr>
    </w:p>
    <w:p>
      <w:pPr>
        <w:ind w:left="1300" w:right="20" w:hanging="320"/>
        <w:spacing w:after="0" w:line="265" w:lineRule="auto"/>
        <w:tabs>
          <w:tab w:leader="none" w:pos="1290" w:val="left"/>
        </w:tabs>
        <w:numPr>
          <w:ilvl w:val="1"/>
          <w:numId w:val="17"/>
        </w:numPr>
        <w:rPr>
          <w:rFonts w:ascii="Arial" w:cs="Arial" w:eastAsia="Arial" w:hAnsi="Arial"/>
          <w:sz w:val="16"/>
          <w:szCs w:val="16"/>
          <w:color w:val="auto"/>
        </w:rPr>
      </w:pPr>
      <w:r>
        <w:rPr>
          <w:rFonts w:ascii="Arial" w:cs="Arial" w:eastAsia="Arial" w:hAnsi="Arial"/>
          <w:sz w:val="16"/>
          <w:szCs w:val="16"/>
          <w:color w:val="auto"/>
        </w:rPr>
        <w:t>In the Northwest market, there are two projects in process with the goal of relocating personnel and vacating the Market Street location in Shreveport, Louisiana. In May 2026, we plan to relocate our Northwest market leadership and lenders to our newly constructed Shreveport Commercial and Private Banking Loan and Deposit Production Office Building, which is adjacent to our East Kings banking center. We then plan to relocate the Market Street retail banking center to the nearby American Towers building, which will have a more efficient cost structure.</w:t>
      </w:r>
    </w:p>
    <w:p>
      <w:pPr>
        <w:spacing w:after="0" w:line="77" w:lineRule="exact"/>
        <w:rPr>
          <w:rFonts w:ascii="Arial" w:cs="Arial" w:eastAsia="Arial" w:hAnsi="Arial"/>
          <w:sz w:val="16"/>
          <w:szCs w:val="16"/>
          <w:color w:val="auto"/>
        </w:rPr>
      </w:pPr>
    </w:p>
    <w:p>
      <w:pPr>
        <w:ind w:left="1300" w:right="240" w:hanging="320"/>
        <w:spacing w:after="0" w:line="275" w:lineRule="auto"/>
        <w:tabs>
          <w:tab w:leader="none" w:pos="1290" w:val="left"/>
        </w:tabs>
        <w:numPr>
          <w:ilvl w:val="1"/>
          <w:numId w:val="17"/>
        </w:numPr>
        <w:rPr>
          <w:rFonts w:ascii="Arial" w:cs="Arial" w:eastAsia="Arial" w:hAnsi="Arial"/>
          <w:sz w:val="16"/>
          <w:szCs w:val="16"/>
          <w:color w:val="auto"/>
        </w:rPr>
      </w:pPr>
      <w:r>
        <w:rPr>
          <w:rFonts w:ascii="Arial" w:cs="Arial" w:eastAsia="Arial" w:hAnsi="Arial"/>
          <w:sz w:val="16"/>
          <w:szCs w:val="16"/>
          <w:color w:val="auto"/>
        </w:rPr>
        <w:t>In the New Orleans market, we have leased and are remodeling a portion of the bottom floor of the Energy Centre Building on Poydras Street. Completion is expected in the third quarter of 2026. Once complete, we plan to relocate the Baronne Street retail banking center and the New Orleans market leadership and lenders to this updated, convenient, and visible location.</w:t>
      </w:r>
    </w:p>
    <w:p>
      <w:pPr>
        <w:spacing w:after="0" w:line="83" w:lineRule="exact"/>
        <w:rPr>
          <w:rFonts w:ascii="Arial" w:cs="Arial" w:eastAsia="Arial" w:hAnsi="Arial"/>
          <w:sz w:val="16"/>
          <w:szCs w:val="16"/>
          <w:color w:val="auto"/>
        </w:rPr>
      </w:pPr>
    </w:p>
    <w:p>
      <w:pPr>
        <w:ind w:left="1300" w:right="260" w:hanging="320"/>
        <w:spacing w:after="0" w:line="286" w:lineRule="auto"/>
        <w:tabs>
          <w:tab w:leader="none" w:pos="1290" w:val="left"/>
        </w:tabs>
        <w:numPr>
          <w:ilvl w:val="1"/>
          <w:numId w:val="17"/>
        </w:numPr>
        <w:rPr>
          <w:rFonts w:ascii="Arial" w:cs="Arial" w:eastAsia="Arial" w:hAnsi="Arial"/>
          <w:sz w:val="16"/>
          <w:szCs w:val="16"/>
          <w:color w:val="auto"/>
        </w:rPr>
      </w:pPr>
      <w:r>
        <w:rPr>
          <w:rFonts w:ascii="Arial" w:cs="Arial" w:eastAsia="Arial" w:hAnsi="Arial"/>
          <w:sz w:val="16"/>
          <w:szCs w:val="16"/>
          <w:color w:val="auto"/>
        </w:rPr>
        <w:t>In the Acadiana market, we held a ground-breaking ceremony in January 2026 for our second full-service banking center in this market, located on Camellia Boulevard in Lafayette, Louisiana. We expect this location to open early in 2027.</w:t>
      </w:r>
    </w:p>
    <w:p>
      <w:pPr>
        <w:spacing w:after="0" w:line="74" w:lineRule="exact"/>
        <w:rPr>
          <w:rFonts w:ascii="Arial" w:cs="Arial" w:eastAsia="Arial" w:hAnsi="Arial"/>
          <w:sz w:val="16"/>
          <w:szCs w:val="16"/>
          <w:color w:val="auto"/>
        </w:rPr>
      </w:pPr>
    </w:p>
    <w:p>
      <w:pPr>
        <w:ind w:left="660" w:right="60" w:hanging="328"/>
        <w:spacing w:after="0" w:line="227"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the first quarter of 2026, S&amp;P Global Market Intelligence ranked the Bank 42</w:t>
      </w:r>
      <w:r>
        <w:rPr>
          <w:rFonts w:ascii="Arial" w:cs="Arial" w:eastAsia="Arial" w:hAnsi="Arial"/>
          <w:sz w:val="21"/>
          <w:szCs w:val="21"/>
          <w:color w:val="auto"/>
          <w:vertAlign w:val="superscript"/>
        </w:rPr>
        <w:t>nd</w:t>
      </w:r>
      <w:r>
        <w:rPr>
          <w:rFonts w:ascii="Arial" w:cs="Arial" w:eastAsia="Arial" w:hAnsi="Arial"/>
          <w:sz w:val="16"/>
          <w:szCs w:val="16"/>
          <w:color w:val="auto"/>
        </w:rPr>
        <w:t xml:space="preserve"> of the top 50 best deposit franchises in 2025 for banks with assets between $3.0 and $10.0 billion.</w:t>
      </w:r>
    </w:p>
    <w:p>
      <w:pPr>
        <w:spacing w:after="0" w:line="110"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April 6, 2026, Jim Nelson was appointed as Market President for the New Orleans market.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contain selected financial information regarding our financial position and performance as of and for the periods indicated: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gridSpan w:val="4"/>
          </w:tcPr>
          <w:p>
            <w:pPr>
              <w:jc w:val="center"/>
              <w:spacing w:after="0"/>
              <w:rPr>
                <w:sz w:val="20"/>
                <w:szCs w:val="20"/>
                <w:color w:val="auto"/>
              </w:rPr>
            </w:pPr>
            <w:r>
              <w:rPr>
                <w:rFonts w:ascii="Arial" w:cs="Arial" w:eastAsia="Arial" w:hAnsi="Arial"/>
                <w:sz w:val="16"/>
                <w:szCs w:val="16"/>
                <w:b w:val="1"/>
                <w:bCs w:val="1"/>
                <w:color w:val="auto"/>
              </w:rPr>
              <w:t>Change from</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5"/>
            <w:vMerge w:val="restart"/>
          </w:tcPr>
          <w:p>
            <w:pPr>
              <w:ind w:left="1120"/>
              <w:spacing w:after="0"/>
              <w:rPr>
                <w:sz w:val="20"/>
                <w:szCs w:val="20"/>
                <w:color w:val="auto"/>
              </w:rPr>
            </w:pPr>
            <w:r>
              <w:rPr>
                <w:rFonts w:ascii="Arial" w:cs="Arial" w:eastAsia="Arial" w:hAnsi="Arial"/>
                <w:sz w:val="16"/>
                <w:szCs w:val="16"/>
                <w:b w:val="1"/>
                <w:bCs w:val="1"/>
                <w:color w:val="auto"/>
              </w:rPr>
              <w:t>As of</w:t>
            </w:r>
          </w:p>
        </w:tc>
        <w:tc>
          <w:tcPr>
            <w:tcW w:w="2540" w:type="dxa"/>
            <w:vAlign w:val="bottom"/>
            <w:gridSpan w:val="4"/>
          </w:tcPr>
          <w:p>
            <w:pPr>
              <w:jc w:val="center"/>
              <w:spacing w:after="0" w:line="162" w:lineRule="exact"/>
              <w:rPr>
                <w:sz w:val="20"/>
                <w:szCs w:val="20"/>
                <w:color w:val="auto"/>
              </w:rPr>
            </w:pPr>
            <w:r>
              <w:rPr>
                <w:rFonts w:ascii="Arial" w:cs="Arial" w:eastAsia="Arial" w:hAnsi="Arial"/>
                <w:sz w:val="16"/>
                <w:szCs w:val="16"/>
                <w:b w:val="1"/>
                <w:bCs w:val="1"/>
                <w:color w:val="auto"/>
              </w:rPr>
              <w:t>December 31, 2025 to March 31,</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vMerge w:val="continue"/>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979"/>
              <w:spacing w:after="0"/>
              <w:rPr>
                <w:sz w:val="20"/>
                <w:szCs w:val="20"/>
                <w:color w:val="auto"/>
              </w:rPr>
            </w:pPr>
            <w:r>
              <w:rPr>
                <w:rFonts w:ascii="Arial" w:cs="Arial" w:eastAsia="Arial" w:hAnsi="Arial"/>
                <w:sz w:val="16"/>
                <w:szCs w:val="16"/>
                <w:b w:val="1"/>
                <w:bCs w:val="1"/>
                <w:color w:val="auto"/>
              </w:rPr>
              <w:t>2026</w:t>
            </w:r>
          </w:p>
        </w:tc>
        <w:tc>
          <w:tcPr>
            <w:tcW w:w="0" w:type="dxa"/>
            <w:vAlign w:val="bottom"/>
          </w:tcPr>
          <w:p>
            <w:pPr>
              <w:spacing w:after="0"/>
              <w:rPr>
                <w:sz w:val="1"/>
                <w:szCs w:val="1"/>
                <w:color w:val="auto"/>
              </w:rPr>
            </w:pPr>
          </w:p>
        </w:tc>
      </w:tr>
      <w:tr>
        <w:trPr>
          <w:trHeight w:val="156"/>
        </w:trPr>
        <w:tc>
          <w:tcPr>
            <w:tcW w:w="56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13"/>
                <w:szCs w:val="13"/>
                <w:color w:val="auto"/>
              </w:rPr>
            </w:pPr>
          </w:p>
        </w:tc>
        <w:tc>
          <w:tcPr>
            <w:tcW w:w="1340" w:type="dxa"/>
            <w:vAlign w:val="bottom"/>
            <w:gridSpan w:val="2"/>
          </w:tcPr>
          <w:p>
            <w:pPr>
              <w:ind w:left="120"/>
              <w:spacing w:after="0" w:line="155" w:lineRule="exact"/>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13"/>
                <w:szCs w:val="13"/>
                <w:color w:val="auto"/>
              </w:rPr>
            </w:pPr>
          </w:p>
        </w:tc>
        <w:tc>
          <w:tcPr>
            <w:tcW w:w="1400" w:type="dxa"/>
            <w:vAlign w:val="bottom"/>
            <w:gridSpan w:val="2"/>
          </w:tcPr>
          <w:p>
            <w:pPr>
              <w:ind w:left="40"/>
              <w:spacing w:after="0" w:line="155" w:lineRule="exact"/>
              <w:rPr>
                <w:sz w:val="20"/>
                <w:szCs w:val="20"/>
                <w:color w:val="auto"/>
              </w:rPr>
            </w:pPr>
            <w:r>
              <w:rPr>
                <w:rFonts w:ascii="Arial" w:cs="Arial" w:eastAsia="Arial" w:hAnsi="Arial"/>
                <w:sz w:val="16"/>
                <w:szCs w:val="16"/>
                <w:b w:val="1"/>
                <w:bCs w:val="1"/>
                <w:color w:val="auto"/>
              </w:rPr>
              <w:t>December 31,</w:t>
            </w:r>
          </w:p>
        </w:tc>
        <w:tc>
          <w:tcPr>
            <w:tcW w:w="108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 Change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560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2026</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00" w:type="dxa"/>
            <w:vAlign w:val="bottom"/>
          </w:tcPr>
          <w:p>
            <w:pPr>
              <w:ind w:left="20"/>
              <w:spacing w:after="0"/>
              <w:rPr>
                <w:sz w:val="20"/>
                <w:szCs w:val="20"/>
                <w:color w:val="auto"/>
              </w:rPr>
            </w:pPr>
            <w:r>
              <w:rPr>
                <w:rFonts w:ascii="Arial" w:cs="Arial" w:eastAsia="Arial" w:hAnsi="Arial"/>
                <w:sz w:val="16"/>
                <w:szCs w:val="16"/>
                <w:b w:val="1"/>
                <w:bCs w:val="1"/>
                <w:color w:val="auto"/>
              </w:rPr>
              <w:t>Selected Period End Balance Sheet Data:</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assets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3,346,600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3,350,910</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(4,310)</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5"/>
        </w:trPr>
        <w:tc>
          <w:tcPr>
            <w:tcW w:w="5600" w:type="dxa"/>
            <w:vAlign w:val="bottom"/>
          </w:tcPr>
          <w:p>
            <w:pPr>
              <w:ind w:left="140"/>
              <w:spacing w:after="0"/>
              <w:rPr>
                <w:sz w:val="20"/>
                <w:szCs w:val="20"/>
                <w:color w:val="auto"/>
              </w:rPr>
            </w:pPr>
            <w:r>
              <w:rPr>
                <w:rFonts w:ascii="Arial" w:cs="Arial" w:eastAsia="Arial" w:hAnsi="Arial"/>
                <w:sz w:val="16"/>
                <w:szCs w:val="16"/>
                <w:color w:val="auto"/>
              </w:rPr>
              <w:t>Interest-bearing deposits in other banks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173,845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187,707</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(13,862)</w:t>
            </w: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7"/>
        </w:trPr>
        <w:tc>
          <w:tcPr>
            <w:tcW w:w="5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Securities available-for-sale, at fair value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638,729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647,310</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(8,581)</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5"/>
        </w:trPr>
        <w:tc>
          <w:tcPr>
            <w:tcW w:w="5600" w:type="dxa"/>
            <w:vAlign w:val="bottom"/>
          </w:tcPr>
          <w:p>
            <w:pPr>
              <w:ind w:left="140"/>
              <w:spacing w:after="0"/>
              <w:rPr>
                <w:sz w:val="20"/>
                <w:szCs w:val="20"/>
                <w:color w:val="auto"/>
              </w:rPr>
            </w:pPr>
            <w:r>
              <w:rPr>
                <w:rFonts w:ascii="Arial" w:cs="Arial" w:eastAsia="Arial" w:hAnsi="Arial"/>
                <w:sz w:val="16"/>
                <w:szCs w:val="16"/>
                <w:color w:val="auto"/>
              </w:rPr>
              <w:t>Securities held-to-maturity, at amortized cost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120,609</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122,619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(2,010)</w:t>
            </w: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7"/>
        </w:trPr>
        <w:tc>
          <w:tcPr>
            <w:tcW w:w="5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Loans held for investment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2,254,546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2,248,669</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5,877</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5"/>
        </w:trPr>
        <w:tc>
          <w:tcPr>
            <w:tcW w:w="5600" w:type="dxa"/>
            <w:vAlign w:val="bottom"/>
          </w:tcPr>
          <w:p>
            <w:pPr>
              <w:ind w:left="140"/>
              <w:spacing w:after="0"/>
              <w:rPr>
                <w:sz w:val="20"/>
                <w:szCs w:val="20"/>
                <w:color w:val="auto"/>
              </w:rPr>
            </w:pPr>
            <w:r>
              <w:rPr>
                <w:rFonts w:ascii="Arial" w:cs="Arial" w:eastAsia="Arial" w:hAnsi="Arial"/>
                <w:sz w:val="16"/>
                <w:szCs w:val="16"/>
                <w:color w:val="auto"/>
              </w:rPr>
              <w:t>Total deposits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2,945,935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2,963,412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(17,477)</w:t>
            </w: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7"/>
        </w:trPr>
        <w:tc>
          <w:tcPr>
            <w:tcW w:w="5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stockholders’ equity</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373,326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365,150</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8,176</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As of and for the</w:t>
      </w:r>
    </w:p>
    <w:p>
      <w:pPr>
        <w:spacing w:after="0" w:line="29"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8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 except per share data)</w:t>
            </w:r>
          </w:p>
        </w:tc>
        <w:tc>
          <w:tcPr>
            <w:tcW w:w="2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March 31,</w:t>
            </w:r>
          </w:p>
        </w:tc>
        <w:tc>
          <w:tcPr>
            <w:tcW w:w="2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December 31,</w:t>
            </w: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70"/>
        </w:trPr>
        <w:tc>
          <w:tcPr>
            <w:tcW w:w="688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11,971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11,415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10,352</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Per Common Share Data:</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6880" w:type="dxa"/>
            <w:vAlign w:val="bottom"/>
          </w:tcPr>
          <w:p>
            <w:pPr>
              <w:ind w:left="180"/>
              <w:spacing w:after="0"/>
              <w:rPr>
                <w:sz w:val="20"/>
                <w:szCs w:val="20"/>
                <w:color w:val="auto"/>
              </w:rPr>
            </w:pPr>
            <w:r>
              <w:rPr>
                <w:rFonts w:ascii="Arial" w:cs="Arial" w:eastAsia="Arial" w:hAnsi="Arial"/>
                <w:sz w:val="16"/>
                <w:szCs w:val="16"/>
                <w:color w:val="auto"/>
              </w:rPr>
              <w:t>Earnings per share, 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1.74</w:t>
            </w:r>
          </w:p>
        </w:tc>
        <w:tc>
          <w:tcPr>
            <w:tcW w:w="8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44"/>
        </w:trPr>
        <w:tc>
          <w:tcPr>
            <w:tcW w:w="6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Earnings per share, diluted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1.73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42"/>
        </w:trPr>
        <w:tc>
          <w:tcPr>
            <w:tcW w:w="6880" w:type="dxa"/>
            <w:vAlign w:val="bottom"/>
          </w:tcPr>
          <w:p>
            <w:pPr>
              <w:ind w:left="180"/>
              <w:spacing w:after="0"/>
              <w:rPr>
                <w:sz w:val="20"/>
                <w:szCs w:val="20"/>
                <w:color w:val="auto"/>
              </w:rPr>
            </w:pPr>
            <w:r>
              <w:rPr>
                <w:rFonts w:ascii="Arial" w:cs="Arial" w:eastAsia="Arial" w:hAnsi="Arial"/>
                <w:sz w:val="16"/>
                <w:szCs w:val="16"/>
                <w:color w:val="auto"/>
              </w:rPr>
              <w:t>Book value per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56.76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55.52</w:t>
            </w:r>
          </w:p>
        </w:tc>
        <w:tc>
          <w:tcPr>
            <w:tcW w:w="8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49.18</w:t>
            </w:r>
          </w:p>
        </w:tc>
        <w:tc>
          <w:tcPr>
            <w:tcW w:w="0" w:type="dxa"/>
            <w:vAlign w:val="bottom"/>
          </w:tcPr>
          <w:p>
            <w:pPr>
              <w:spacing w:after="0"/>
              <w:rPr>
                <w:sz w:val="1"/>
                <w:szCs w:val="1"/>
                <w:color w:val="auto"/>
              </w:rPr>
            </w:pPr>
          </w:p>
        </w:tc>
      </w:tr>
      <w:tr>
        <w:trPr>
          <w:trHeight w:val="244"/>
        </w:trPr>
        <w:tc>
          <w:tcPr>
            <w:tcW w:w="6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Tangible book value per share</w:t>
            </w:r>
            <w:r>
              <w:rPr>
                <w:rFonts w:ascii="Arial" w:cs="Arial" w:eastAsia="Arial" w:hAnsi="Arial"/>
                <w:sz w:val="21"/>
                <w:szCs w:val="21"/>
                <w:color w:val="auto"/>
                <w:vertAlign w:val="superscript"/>
              </w:rPr>
              <w:t>(1,2)</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56.53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55.29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48.95</w:t>
            </w:r>
          </w:p>
        </w:tc>
        <w:tc>
          <w:tcPr>
            <w:tcW w:w="0" w:type="dxa"/>
            <w:vAlign w:val="bottom"/>
          </w:tcPr>
          <w:p>
            <w:pPr>
              <w:spacing w:after="0"/>
              <w:rPr>
                <w:sz w:val="1"/>
                <w:szCs w:val="1"/>
                <w:color w:val="auto"/>
              </w:rPr>
            </w:pPr>
          </w:p>
        </w:tc>
      </w:tr>
      <w:tr>
        <w:trPr>
          <w:trHeight w:val="243"/>
        </w:trPr>
        <w:tc>
          <w:tcPr>
            <w:tcW w:w="6880" w:type="dxa"/>
            <w:vAlign w:val="bottom"/>
          </w:tcPr>
          <w:p>
            <w:pPr>
              <w:ind w:left="180"/>
              <w:spacing w:after="0"/>
              <w:rPr>
                <w:sz w:val="20"/>
                <w:szCs w:val="20"/>
                <w:color w:val="auto"/>
              </w:rPr>
            </w:pPr>
            <w:r>
              <w:rPr>
                <w:rFonts w:ascii="Arial" w:cs="Arial" w:eastAsia="Arial" w:hAnsi="Arial"/>
                <w:sz w:val="16"/>
                <w:szCs w:val="16"/>
                <w:color w:val="auto"/>
              </w:rPr>
              <w:t>Realized book value per share</w:t>
            </w:r>
            <w:r>
              <w:rPr>
                <w:rFonts w:ascii="Arial" w:cs="Arial" w:eastAsia="Arial" w:hAnsi="Arial"/>
                <w:sz w:val="21"/>
                <w:szCs w:val="21"/>
                <w:color w:val="auto"/>
                <w:vertAlign w:val="superscript"/>
              </w:rPr>
              <w:t>(1,3)</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63.70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62.11</w:t>
            </w:r>
          </w:p>
        </w:tc>
        <w:tc>
          <w:tcPr>
            <w:tcW w:w="8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57.49</w:t>
            </w:r>
          </w:p>
        </w:tc>
        <w:tc>
          <w:tcPr>
            <w:tcW w:w="0" w:type="dxa"/>
            <w:vAlign w:val="bottom"/>
          </w:tcPr>
          <w:p>
            <w:pPr>
              <w:spacing w:after="0"/>
              <w:rPr>
                <w:sz w:val="1"/>
                <w:szCs w:val="1"/>
                <w:color w:val="auto"/>
              </w:rPr>
            </w:pPr>
          </w:p>
        </w:tc>
      </w:tr>
      <w:tr>
        <w:trPr>
          <w:trHeight w:val="243"/>
        </w:trPr>
        <w:tc>
          <w:tcPr>
            <w:tcW w:w="6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dividends per share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0.25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0.15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35"/>
        </w:trPr>
        <w:tc>
          <w:tcPr>
            <w:tcW w:w="6880" w:type="dxa"/>
            <w:vAlign w:val="bottom"/>
          </w:tcPr>
          <w:p>
            <w:pPr>
              <w:ind w:left="180"/>
              <w:spacing w:after="0"/>
              <w:rPr>
                <w:sz w:val="20"/>
                <w:szCs w:val="20"/>
                <w:color w:val="auto"/>
              </w:rPr>
            </w:pPr>
            <w:r>
              <w:rPr>
                <w:rFonts w:ascii="Arial" w:cs="Arial" w:eastAsia="Arial" w:hAnsi="Arial"/>
                <w:sz w:val="16"/>
                <w:szCs w:val="16"/>
                <w:color w:val="auto"/>
              </w:rPr>
              <w:t>Shares outstanding</w:t>
            </w:r>
          </w:p>
        </w:tc>
        <w:tc>
          <w:tcPr>
            <w:tcW w:w="260" w:type="dxa"/>
            <w:vAlign w:val="bottom"/>
          </w:tcPr>
          <w:p>
            <w:pPr>
              <w:spacing w:after="0"/>
              <w:rPr>
                <w:sz w:val="20"/>
                <w:szCs w:val="20"/>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6,577,186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6,576,609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6,777,657</w:t>
            </w:r>
          </w:p>
        </w:tc>
        <w:tc>
          <w:tcPr>
            <w:tcW w:w="0" w:type="dxa"/>
            <w:vAlign w:val="bottom"/>
          </w:tcPr>
          <w:p>
            <w:pPr>
              <w:spacing w:after="0"/>
              <w:rPr>
                <w:sz w:val="1"/>
                <w:szCs w:val="1"/>
                <w:color w:val="auto"/>
              </w:rPr>
            </w:pPr>
          </w:p>
        </w:tc>
      </w:tr>
      <w:tr>
        <w:trPr>
          <w:trHeight w:val="251"/>
        </w:trPr>
        <w:tc>
          <w:tcPr>
            <w:tcW w:w="6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 average shares outstanding, basic</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6,576,994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6,576,609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6,777,332</w:t>
            </w:r>
          </w:p>
        </w:tc>
        <w:tc>
          <w:tcPr>
            <w:tcW w:w="0" w:type="dxa"/>
            <w:vAlign w:val="bottom"/>
          </w:tcPr>
          <w:p>
            <w:pPr>
              <w:spacing w:after="0"/>
              <w:rPr>
                <w:sz w:val="1"/>
                <w:szCs w:val="1"/>
                <w:color w:val="auto"/>
              </w:rPr>
            </w:pPr>
          </w:p>
        </w:tc>
      </w:tr>
      <w:tr>
        <w:trPr>
          <w:trHeight w:val="235"/>
        </w:trPr>
        <w:tc>
          <w:tcPr>
            <w:tcW w:w="6880" w:type="dxa"/>
            <w:vAlign w:val="bottom"/>
          </w:tcPr>
          <w:p>
            <w:pPr>
              <w:ind w:left="180"/>
              <w:spacing w:after="0"/>
              <w:rPr>
                <w:sz w:val="20"/>
                <w:szCs w:val="20"/>
                <w:color w:val="auto"/>
              </w:rPr>
            </w:pPr>
            <w:r>
              <w:rPr>
                <w:rFonts w:ascii="Arial" w:cs="Arial" w:eastAsia="Arial" w:hAnsi="Arial"/>
                <w:sz w:val="16"/>
                <w:szCs w:val="16"/>
                <w:color w:val="auto"/>
              </w:rPr>
              <w:t>Weighted average shares outstanding, diluted</w:t>
            </w:r>
          </w:p>
        </w:tc>
        <w:tc>
          <w:tcPr>
            <w:tcW w:w="260" w:type="dxa"/>
            <w:vAlign w:val="bottom"/>
          </w:tcPr>
          <w:p>
            <w:pPr>
              <w:spacing w:after="0"/>
              <w:rPr>
                <w:sz w:val="20"/>
                <w:szCs w:val="20"/>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6,609,208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6,604,082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6,796,707</w:t>
            </w:r>
          </w:p>
        </w:tc>
        <w:tc>
          <w:tcPr>
            <w:tcW w:w="0" w:type="dxa"/>
            <w:vAlign w:val="bottom"/>
          </w:tcPr>
          <w:p>
            <w:pPr>
              <w:spacing w:after="0"/>
              <w:rPr>
                <w:sz w:val="1"/>
                <w:szCs w:val="1"/>
                <w:color w:val="auto"/>
              </w:rPr>
            </w:pPr>
          </w:p>
        </w:tc>
      </w:tr>
      <w:tr>
        <w:trPr>
          <w:trHeight w:val="224"/>
        </w:trPr>
        <w:tc>
          <w:tcPr>
            <w:tcW w:w="6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20"/>
              <w:spacing w:after="0"/>
              <w:rPr>
                <w:sz w:val="20"/>
                <w:szCs w:val="20"/>
                <w:color w:val="auto"/>
              </w:rPr>
            </w:pPr>
            <w:r>
              <w:rPr>
                <w:rFonts w:ascii="Arial" w:cs="Arial" w:eastAsia="Arial" w:hAnsi="Arial"/>
                <w:sz w:val="16"/>
                <w:szCs w:val="16"/>
                <w:b w:val="1"/>
                <w:bCs w:val="1"/>
                <w:color w:val="auto"/>
              </w:rPr>
              <w:t>Summary Performance Ratios: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Return on average assets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5"/>
        </w:trPr>
        <w:tc>
          <w:tcPr>
            <w:tcW w:w="6880" w:type="dxa"/>
            <w:vAlign w:val="bottom"/>
          </w:tcPr>
          <w:p>
            <w:pPr>
              <w:ind w:left="140"/>
              <w:spacing w:after="0"/>
              <w:rPr>
                <w:sz w:val="20"/>
                <w:szCs w:val="20"/>
                <w:color w:val="auto"/>
              </w:rPr>
            </w:pPr>
            <w:r>
              <w:rPr>
                <w:rFonts w:ascii="Arial" w:cs="Arial" w:eastAsia="Arial" w:hAnsi="Arial"/>
                <w:sz w:val="16"/>
                <w:szCs w:val="16"/>
                <w:color w:val="auto"/>
              </w:rPr>
              <w:t>Return on average equity</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12.60%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12.85%</w:t>
            </w:r>
          </w:p>
        </w:tc>
        <w:tc>
          <w:tcPr>
            <w:tcW w:w="0" w:type="dxa"/>
            <w:vAlign w:val="bottom"/>
          </w:tcPr>
          <w:p>
            <w:pPr>
              <w:spacing w:after="0"/>
              <w:rPr>
                <w:sz w:val="1"/>
                <w:szCs w:val="1"/>
                <w:color w:val="auto"/>
              </w:rPr>
            </w:pPr>
          </w:p>
        </w:tc>
      </w:tr>
      <w:tr>
        <w:trPr>
          <w:trHeight w:val="217"/>
        </w:trPr>
        <w:tc>
          <w:tcPr>
            <w:tcW w:w="6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interest margin</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16"/>
        </w:trPr>
        <w:tc>
          <w:tcPr>
            <w:tcW w:w="6880" w:type="dxa"/>
            <w:vAlign w:val="bottom"/>
          </w:tcPr>
          <w:p>
            <w:pPr>
              <w:ind w:left="140"/>
              <w:spacing w:after="0" w:line="216" w:lineRule="exact"/>
              <w:rPr>
                <w:sz w:val="20"/>
                <w:szCs w:val="20"/>
                <w:color w:val="auto"/>
              </w:rPr>
            </w:pPr>
            <w:r>
              <w:rPr>
                <w:rFonts w:ascii="Arial" w:cs="Arial" w:eastAsia="Arial" w:hAnsi="Arial"/>
                <w:sz w:val="16"/>
                <w:szCs w:val="16"/>
                <w:color w:val="auto"/>
              </w:rPr>
              <w:t>Net interest margin FTE</w:t>
            </w:r>
            <w:r>
              <w:rPr>
                <w:rFonts w:ascii="Arial" w:cs="Arial" w:eastAsia="Arial" w:hAnsi="Arial"/>
                <w:sz w:val="21"/>
                <w:szCs w:val="21"/>
                <w:color w:val="auto"/>
                <w:vertAlign w:val="superscript"/>
              </w:rPr>
              <w:t>(4)</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Efficiency ratio</w:t>
            </w:r>
            <w:r>
              <w:rPr>
                <w:rFonts w:ascii="Arial" w:cs="Arial" w:eastAsia="Arial" w:hAnsi="Arial"/>
                <w:sz w:val="21"/>
                <w:szCs w:val="21"/>
                <w:color w:val="auto"/>
                <w:vertAlign w:val="superscript"/>
              </w:rPr>
              <w:t>(5)</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55.51%</w:t>
            </w:r>
          </w:p>
        </w:tc>
        <w:tc>
          <w:tcPr>
            <w:tcW w:w="0" w:type="dxa"/>
            <w:vAlign w:val="bottom"/>
          </w:tcPr>
          <w:p>
            <w:pPr>
              <w:spacing w:after="0"/>
              <w:rPr>
                <w:sz w:val="1"/>
                <w:szCs w:val="1"/>
                <w:color w:val="auto"/>
              </w:rPr>
            </w:pPr>
          </w:p>
        </w:tc>
      </w:tr>
      <w:tr>
        <w:trPr>
          <w:trHeight w:val="215"/>
        </w:trPr>
        <w:tc>
          <w:tcPr>
            <w:tcW w:w="6880" w:type="dxa"/>
            <w:vAlign w:val="bottom"/>
          </w:tcPr>
          <w:p>
            <w:pPr>
              <w:ind w:left="140"/>
              <w:spacing w:after="0"/>
              <w:rPr>
                <w:sz w:val="20"/>
                <w:szCs w:val="20"/>
                <w:color w:val="auto"/>
              </w:rPr>
            </w:pPr>
            <w:r>
              <w:rPr>
                <w:rFonts w:ascii="Arial" w:cs="Arial" w:eastAsia="Arial" w:hAnsi="Arial"/>
                <w:sz w:val="16"/>
                <w:szCs w:val="16"/>
                <w:color w:val="auto"/>
              </w:rPr>
              <w:t>Loans HFI to deposits ratio</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76.53%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74.84%</w:t>
            </w:r>
          </w:p>
        </w:tc>
        <w:tc>
          <w:tcPr>
            <w:tcW w:w="0" w:type="dxa"/>
            <w:vAlign w:val="bottom"/>
          </w:tcPr>
          <w:p>
            <w:pPr>
              <w:spacing w:after="0"/>
              <w:rPr>
                <w:sz w:val="1"/>
                <w:szCs w:val="1"/>
                <w:color w:val="auto"/>
              </w:rPr>
            </w:pPr>
          </w:p>
        </w:tc>
      </w:tr>
      <w:tr>
        <w:trPr>
          <w:trHeight w:val="217"/>
        </w:trPr>
        <w:tc>
          <w:tcPr>
            <w:tcW w:w="6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Noninterest-bearing deposits to deposits ratio</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32.08%</w:t>
            </w:r>
          </w:p>
        </w:tc>
        <w:tc>
          <w:tcPr>
            <w:tcW w:w="0" w:type="dxa"/>
            <w:vAlign w:val="bottom"/>
          </w:tcPr>
          <w:p>
            <w:pPr>
              <w:spacing w:after="0"/>
              <w:rPr>
                <w:sz w:val="1"/>
                <w:szCs w:val="1"/>
                <w:color w:val="auto"/>
              </w:rPr>
            </w:pPr>
          </w:p>
        </w:tc>
      </w:tr>
      <w:tr>
        <w:trPr>
          <w:trHeight w:val="215"/>
        </w:trPr>
        <w:tc>
          <w:tcPr>
            <w:tcW w:w="6880" w:type="dxa"/>
            <w:vAlign w:val="bottom"/>
          </w:tcPr>
          <w:p>
            <w:pPr>
              <w:ind w:left="140"/>
              <w:spacing w:after="0"/>
              <w:rPr>
                <w:sz w:val="20"/>
                <w:szCs w:val="20"/>
                <w:color w:val="auto"/>
              </w:rPr>
            </w:pPr>
            <w:r>
              <w:rPr>
                <w:rFonts w:ascii="Arial" w:cs="Arial" w:eastAsia="Arial" w:hAnsi="Arial"/>
                <w:sz w:val="16"/>
                <w:szCs w:val="16"/>
                <w:color w:val="auto"/>
              </w:rPr>
              <w:t>Noninterest income to average assets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0.60%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0.67%</w:t>
            </w:r>
          </w:p>
        </w:tc>
        <w:tc>
          <w:tcPr>
            <w:tcW w:w="0" w:type="dxa"/>
            <w:vAlign w:val="bottom"/>
          </w:tcPr>
          <w:p>
            <w:pPr>
              <w:spacing w:after="0"/>
              <w:rPr>
                <w:sz w:val="1"/>
                <w:szCs w:val="1"/>
                <w:color w:val="auto"/>
              </w:rPr>
            </w:pPr>
          </w:p>
        </w:tc>
      </w:tr>
      <w:tr>
        <w:trPr>
          <w:trHeight w:val="217"/>
        </w:trPr>
        <w:tc>
          <w:tcPr>
            <w:tcW w:w="6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expense to average assets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Summary Credit Quality Ratios: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880" w:type="dxa"/>
            <w:vAlign w:val="bottom"/>
          </w:tcPr>
          <w:p>
            <w:pPr>
              <w:ind w:left="180"/>
              <w:spacing w:after="0"/>
              <w:rPr>
                <w:sz w:val="20"/>
                <w:szCs w:val="20"/>
                <w:color w:val="auto"/>
              </w:rPr>
            </w:pPr>
            <w:r>
              <w:rPr>
                <w:rFonts w:ascii="Arial" w:cs="Arial" w:eastAsia="Arial" w:hAnsi="Arial"/>
                <w:sz w:val="16"/>
                <w:szCs w:val="16"/>
                <w:color w:val="auto"/>
              </w:rPr>
              <w:t>NPAs to assets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0.11%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51"/>
        </w:trPr>
        <w:tc>
          <w:tcPr>
            <w:tcW w:w="6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Nonperforming loans to loans HFI</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35"/>
        </w:trPr>
        <w:tc>
          <w:tcPr>
            <w:tcW w:w="6880" w:type="dxa"/>
            <w:vAlign w:val="bottom"/>
          </w:tcPr>
          <w:p>
            <w:pPr>
              <w:ind w:left="180"/>
              <w:spacing w:after="0"/>
              <w:rPr>
                <w:sz w:val="20"/>
                <w:szCs w:val="20"/>
                <w:color w:val="auto"/>
              </w:rPr>
            </w:pPr>
            <w:r>
              <w:rPr>
                <w:rFonts w:ascii="Arial" w:cs="Arial" w:eastAsia="Arial" w:hAnsi="Arial"/>
                <w:sz w:val="16"/>
                <w:szCs w:val="16"/>
                <w:color w:val="auto"/>
              </w:rPr>
              <w:t>ACL to loans HFI</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51"/>
        </w:trPr>
        <w:tc>
          <w:tcPr>
            <w:tcW w:w="6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charge-offs to average loans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Capital Ratios: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80" w:type="dxa"/>
            <w:vAlign w:val="bottom"/>
          </w:tcPr>
          <w:p>
            <w:pPr>
              <w:ind w:left="140"/>
              <w:spacing w:after="0"/>
              <w:rPr>
                <w:sz w:val="20"/>
                <w:szCs w:val="20"/>
                <w:color w:val="auto"/>
              </w:rPr>
            </w:pPr>
            <w:r>
              <w:rPr>
                <w:rFonts w:ascii="Arial" w:cs="Arial" w:eastAsia="Arial" w:hAnsi="Arial"/>
                <w:sz w:val="16"/>
                <w:szCs w:val="16"/>
                <w:color w:val="auto"/>
              </w:rPr>
              <w:t>Stockholders’ equity to assets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10.90%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10.46%</w:t>
            </w:r>
          </w:p>
        </w:tc>
        <w:tc>
          <w:tcPr>
            <w:tcW w:w="0" w:type="dxa"/>
            <w:vAlign w:val="bottom"/>
          </w:tcPr>
          <w:p>
            <w:pPr>
              <w:spacing w:after="0"/>
              <w:rPr>
                <w:sz w:val="1"/>
                <w:szCs w:val="1"/>
                <w:color w:val="auto"/>
              </w:rPr>
            </w:pPr>
          </w:p>
        </w:tc>
      </w:tr>
      <w:tr>
        <w:trPr>
          <w:trHeight w:val="217"/>
        </w:trPr>
        <w:tc>
          <w:tcPr>
            <w:tcW w:w="6880" w:type="dxa"/>
            <w:vAlign w:val="bottom"/>
            <w:shd w:val="clear" w:color="auto" w:fill="CCEEFF"/>
          </w:tcPr>
          <w:p>
            <w:pPr>
              <w:ind w:left="140"/>
              <w:spacing w:after="0" w:line="217" w:lineRule="exact"/>
              <w:rPr>
                <w:sz w:val="20"/>
                <w:szCs w:val="20"/>
                <w:color w:val="auto"/>
              </w:rPr>
            </w:pPr>
            <w:r>
              <w:rPr>
                <w:rFonts w:ascii="Arial" w:cs="Arial" w:eastAsia="Arial" w:hAnsi="Arial"/>
                <w:sz w:val="16"/>
                <w:szCs w:val="16"/>
                <w:color w:val="auto"/>
              </w:rPr>
              <w:t>Tangible common equity to tangible assets</w:t>
            </w:r>
            <w:r>
              <w:rPr>
                <w:rFonts w:ascii="Arial" w:cs="Arial" w:eastAsia="Arial" w:hAnsi="Arial"/>
                <w:sz w:val="21"/>
                <w:szCs w:val="21"/>
                <w:color w:val="auto"/>
                <w:vertAlign w:val="superscript"/>
              </w:rPr>
              <w:t>(1,6)</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w:t>
            </w:r>
          </w:p>
        </w:tc>
        <w:tc>
          <w:tcPr>
            <w:tcW w:w="0" w:type="dxa"/>
            <w:vAlign w:val="bottom"/>
          </w:tcPr>
          <w:p>
            <w:pPr>
              <w:spacing w:after="0"/>
              <w:rPr>
                <w:sz w:val="1"/>
                <w:szCs w:val="1"/>
                <w:color w:val="auto"/>
              </w:rPr>
            </w:pPr>
          </w:p>
        </w:tc>
      </w:tr>
      <w:tr>
        <w:trPr>
          <w:trHeight w:val="215"/>
        </w:trPr>
        <w:tc>
          <w:tcPr>
            <w:tcW w:w="6880" w:type="dxa"/>
            <w:vAlign w:val="bottom"/>
          </w:tcPr>
          <w:p>
            <w:pPr>
              <w:ind w:left="140"/>
              <w:spacing w:after="0"/>
              <w:rPr>
                <w:sz w:val="20"/>
                <w:szCs w:val="20"/>
                <w:color w:val="auto"/>
              </w:rPr>
            </w:pPr>
            <w:r>
              <w:rPr>
                <w:rFonts w:ascii="Arial" w:cs="Arial" w:eastAsia="Arial" w:hAnsi="Arial"/>
                <w:sz w:val="16"/>
                <w:szCs w:val="16"/>
                <w:color w:val="auto"/>
              </w:rPr>
              <w:t>Total risk-based capital to risk-weighted assets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18.25%</w:t>
            </w:r>
          </w:p>
        </w:tc>
        <w:tc>
          <w:tcPr>
            <w:tcW w:w="0" w:type="dxa"/>
            <w:vAlign w:val="bottom"/>
          </w:tcPr>
          <w:p>
            <w:pPr>
              <w:spacing w:after="0"/>
              <w:rPr>
                <w:sz w:val="1"/>
                <w:szCs w:val="1"/>
                <w:color w:val="auto"/>
              </w:rPr>
            </w:pPr>
          </w:p>
        </w:tc>
      </w:tr>
      <w:tr>
        <w:trPr>
          <w:trHeight w:val="217"/>
        </w:trPr>
        <w:tc>
          <w:tcPr>
            <w:tcW w:w="6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Tier I risk-based capital to risk-weighted assets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w:t>
            </w:r>
          </w:p>
        </w:tc>
        <w:tc>
          <w:tcPr>
            <w:tcW w:w="0" w:type="dxa"/>
            <w:vAlign w:val="bottom"/>
          </w:tcPr>
          <w:p>
            <w:pPr>
              <w:spacing w:after="0"/>
              <w:rPr>
                <w:sz w:val="1"/>
                <w:szCs w:val="1"/>
                <w:color w:val="auto"/>
              </w:rPr>
            </w:pPr>
          </w:p>
        </w:tc>
      </w:tr>
      <w:tr>
        <w:trPr>
          <w:trHeight w:val="215"/>
        </w:trPr>
        <w:tc>
          <w:tcPr>
            <w:tcW w:w="6880" w:type="dxa"/>
            <w:vAlign w:val="bottom"/>
          </w:tcPr>
          <w:p>
            <w:pPr>
              <w:ind w:left="140"/>
              <w:spacing w:after="0"/>
              <w:rPr>
                <w:sz w:val="20"/>
                <w:szCs w:val="20"/>
                <w:color w:val="auto"/>
              </w:rPr>
            </w:pPr>
            <w:r>
              <w:rPr>
                <w:rFonts w:ascii="Arial" w:cs="Arial" w:eastAsia="Arial" w:hAnsi="Arial"/>
                <w:sz w:val="16"/>
                <w:szCs w:val="16"/>
                <w:color w:val="auto"/>
              </w:rPr>
              <w:t>Common equity Tier I capital to risk-weighted assets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17.25%</w:t>
            </w:r>
          </w:p>
        </w:tc>
        <w:tc>
          <w:tcPr>
            <w:tcW w:w="0" w:type="dxa"/>
            <w:vAlign w:val="bottom"/>
          </w:tcPr>
          <w:p>
            <w:pPr>
              <w:spacing w:after="0"/>
              <w:rPr>
                <w:sz w:val="1"/>
                <w:szCs w:val="1"/>
                <w:color w:val="auto"/>
              </w:rPr>
            </w:pPr>
          </w:p>
        </w:tc>
      </w:tr>
      <w:tr>
        <w:trPr>
          <w:trHeight w:val="217"/>
        </w:trPr>
        <w:tc>
          <w:tcPr>
            <w:tcW w:w="6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Tier I risk-based capital to average assets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60" w:hanging="152"/>
        <w:spacing w:after="0"/>
        <w:tabs>
          <w:tab w:leader="none" w:pos="160" w:val="left"/>
        </w:tabs>
        <w:numPr>
          <w:ilvl w:val="0"/>
          <w:numId w:val="18"/>
        </w:numPr>
        <w:rPr>
          <w:rFonts w:ascii="Arial" w:cs="Arial" w:eastAsia="Arial" w:hAnsi="Arial"/>
          <w:sz w:val="16"/>
          <w:szCs w:val="16"/>
          <w:color w:val="auto"/>
          <w:vertAlign w:val="superscript"/>
        </w:rPr>
      </w:pPr>
      <w:r>
        <w:rPr>
          <w:rFonts w:ascii="Arial" w:cs="Arial" w:eastAsia="Arial" w:hAnsi="Arial"/>
          <w:sz w:val="13"/>
          <w:szCs w:val="13"/>
          <w:color w:val="auto"/>
        </w:rPr>
        <w:t>Non-GAAP financial measure. Calculations of this measure and reconciliations to GAAP are included in “- Non-GAAP Financial Measures” in this Report. This measure has not been audited.</w:t>
      </w:r>
    </w:p>
    <w:p>
      <w:pPr>
        <w:ind w:left="160" w:hanging="152"/>
        <w:spacing w:after="0" w:line="206" w:lineRule="auto"/>
        <w:tabs>
          <w:tab w:leader="none" w:pos="160" w:val="left"/>
        </w:tabs>
        <w:numPr>
          <w:ilvl w:val="0"/>
          <w:numId w:val="18"/>
        </w:numPr>
        <w:rPr>
          <w:rFonts w:ascii="Arial" w:cs="Arial" w:eastAsia="Arial" w:hAnsi="Arial"/>
          <w:sz w:val="15"/>
          <w:szCs w:val="15"/>
          <w:color w:val="auto"/>
          <w:vertAlign w:val="superscript"/>
        </w:rPr>
      </w:pPr>
      <w:r>
        <w:rPr>
          <w:rFonts w:ascii="Arial" w:cs="Arial" w:eastAsia="Arial" w:hAnsi="Arial"/>
          <w:sz w:val="12"/>
          <w:szCs w:val="12"/>
          <w:color w:val="auto"/>
        </w:rPr>
        <w:t>We calculate tangible book value per share as total stockholders’ equity, less intangible assets, divided by the outstanding number of shares of our common stock at the end of the relevant period.</w:t>
      </w:r>
    </w:p>
    <w:p>
      <w:pPr>
        <w:ind w:left="160" w:hanging="152"/>
        <w:spacing w:after="0" w:line="193" w:lineRule="auto"/>
        <w:tabs>
          <w:tab w:leader="none" w:pos="160" w:val="left"/>
        </w:tabs>
        <w:numPr>
          <w:ilvl w:val="0"/>
          <w:numId w:val="18"/>
        </w:numPr>
        <w:rPr>
          <w:rFonts w:ascii="Arial" w:cs="Arial" w:eastAsia="Arial" w:hAnsi="Arial"/>
          <w:sz w:val="16"/>
          <w:szCs w:val="16"/>
          <w:color w:val="auto"/>
          <w:vertAlign w:val="superscript"/>
        </w:rPr>
      </w:pPr>
      <w:r>
        <w:rPr>
          <w:rFonts w:ascii="Arial" w:cs="Arial" w:eastAsia="Arial" w:hAnsi="Arial"/>
          <w:sz w:val="13"/>
          <w:szCs w:val="13"/>
          <w:color w:val="auto"/>
        </w:rPr>
        <w:t>We calculate realized book value per share as total stockholders’ equity, less AOCI, divided by the outstanding number of shares of our common stock at the end of the relevant period.</w:t>
      </w:r>
    </w:p>
    <w:p>
      <w:pPr>
        <w:ind w:left="160" w:hanging="152"/>
        <w:spacing w:after="0" w:line="193" w:lineRule="auto"/>
        <w:tabs>
          <w:tab w:leader="none" w:pos="160" w:val="left"/>
        </w:tabs>
        <w:numPr>
          <w:ilvl w:val="0"/>
          <w:numId w:val="18"/>
        </w:numPr>
        <w:rPr>
          <w:rFonts w:ascii="Arial" w:cs="Arial" w:eastAsia="Arial" w:hAnsi="Arial"/>
          <w:sz w:val="16"/>
          <w:szCs w:val="16"/>
          <w:color w:val="auto"/>
          <w:vertAlign w:val="superscript"/>
        </w:rPr>
      </w:pPr>
      <w:r>
        <w:rPr>
          <w:rFonts w:ascii="Arial" w:cs="Arial" w:eastAsia="Arial" w:hAnsi="Arial"/>
          <w:sz w:val="13"/>
          <w:szCs w:val="13"/>
          <w:color w:val="auto"/>
        </w:rPr>
        <w:t>Net interest margin FTE includes an FTE adjustment using a 21.0% federal income tax rate on tax-exempt securities and tax-exempt loans.</w:t>
      </w:r>
    </w:p>
    <w:p>
      <w:pPr>
        <w:ind w:left="160" w:hanging="152"/>
        <w:spacing w:after="0" w:line="200" w:lineRule="auto"/>
        <w:tabs>
          <w:tab w:leader="none" w:pos="160" w:val="left"/>
        </w:tabs>
        <w:numPr>
          <w:ilvl w:val="0"/>
          <w:numId w:val="18"/>
        </w:numPr>
        <w:rPr>
          <w:rFonts w:ascii="Arial" w:cs="Arial" w:eastAsia="Arial" w:hAnsi="Arial"/>
          <w:sz w:val="16"/>
          <w:szCs w:val="16"/>
          <w:color w:val="auto"/>
          <w:vertAlign w:val="superscript"/>
        </w:rPr>
      </w:pPr>
      <w:r>
        <w:rPr>
          <w:rFonts w:ascii="Arial" w:cs="Arial" w:eastAsia="Arial" w:hAnsi="Arial"/>
          <w:sz w:val="13"/>
          <w:szCs w:val="13"/>
          <w:color w:val="auto"/>
        </w:rPr>
        <w:t>Efficiency ratio represents operating expenses divided by the sum of net interest income and noninterest income.</w:t>
      </w:r>
    </w:p>
    <w:p>
      <w:pPr>
        <w:spacing w:after="0" w:line="8" w:lineRule="exact"/>
        <w:rPr>
          <w:rFonts w:ascii="Arial" w:cs="Arial" w:eastAsia="Arial" w:hAnsi="Arial"/>
          <w:sz w:val="16"/>
          <w:szCs w:val="16"/>
          <w:color w:val="auto"/>
          <w:vertAlign w:val="superscript"/>
        </w:rPr>
      </w:pPr>
    </w:p>
    <w:p>
      <w:pPr>
        <w:ind w:left="180" w:right="60" w:hanging="172"/>
        <w:spacing w:after="0" w:line="217" w:lineRule="auto"/>
        <w:tabs>
          <w:tab w:leader="none" w:pos="172" w:val="left"/>
        </w:tabs>
        <w:numPr>
          <w:ilvl w:val="0"/>
          <w:numId w:val="18"/>
        </w:numPr>
        <w:rPr>
          <w:rFonts w:ascii="Arial" w:cs="Arial" w:eastAsia="Arial" w:hAnsi="Arial"/>
          <w:sz w:val="16"/>
          <w:szCs w:val="16"/>
          <w:color w:val="auto"/>
          <w:vertAlign w:val="superscript"/>
        </w:rPr>
      </w:pPr>
      <w:r>
        <w:rPr>
          <w:rFonts w:ascii="Arial" w:cs="Arial" w:eastAsia="Arial" w:hAnsi="Arial"/>
          <w:sz w:val="13"/>
          <w:szCs w:val="13"/>
          <w:color w:val="auto"/>
        </w:rPr>
        <w:t>We calculate tangible common equity as total stockholders’ equity, less intangible assets, net of accumulated amortization, and we calculate tangible assets as total assets, less intangible assets, net of accumulated amortization.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40"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Net income for the first quarter of 2026 was $12.0 million, or $1.81 diluted EPS, an increase of $556,000, or 4.9%, compared to $11.4 million, or $1.73 diluted EPS, for the fourth quarter of 2025. The increase in net income was due to a $1.0 million decrease in operating expenses and a $163,000 increase in net interest income, partially offset by a $416,000 decrease in noninterest income and a $192,000 increase in income tax expense. The return on assets for the first quarter of 2026 was 1.44%, compared to 1.38% for the fourth quarter of 2025. The return on equity was 12.95% for the first quarter of 2026, compared to 12.60% for the fourth quarter of 2025. Our efficiency ratio for the first quarter of 2026 was 52.37%, compared to 54.99% for the fourth quarter of 2025.</w:t>
      </w:r>
    </w:p>
    <w:p>
      <w:pPr>
        <w:spacing w:after="0" w:line="29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Net income for the three months ended March 31, 2026, was $12.0 million, or $1.81 diluted EPS, an increase of $1.6 million, or 15.6%, compared to $10.4 million, or $1.52 diluted EPS, for the three months ended March 31, 2025. The increase in net income was due to a $3.8 million increase in net interest income, partially offset by a $739,000 decrease in noninterest income, a $662,000 increase in operating expenses, a $474,000 increase in income tax expense, and a $300,000 increase in the provision for credit losses. The return on assets for the three months ended March 31, 2026, was 1.44%, compared to 1.32% for the three months ended March 31, 2025. The return on equity was 12.95% for the three months ended March 31, 2026, compared to 12.85% for the three months ended March 31, 2025. Our efficiency ratio for the three months ended March 31, 2026, was 52.37%, compared to 55.51% for the three months ended March 31, 2025.</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Interest Income and Net Interest Margin</w:t>
      </w:r>
    </w:p>
    <w:p>
      <w:pPr>
        <w:spacing w:after="0" w:line="138"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Our operating results depend primarily on our net interest income. Fluctuations in market interest rates impact the yield on interest-earning assets and the rate paid on interest-bearing liabilities. Changes in the amount and type of interest-earning assets and interest-bearing liabilities impact our net interest income. To evaluate net interest income, we measure and monitor: (1) yields on loans and other interest-earning assets; (2) the cost of deposits and other funding sources; (3) net interest spread; and (4) net interest margin. Since noninterest-bearing sources of funds, such as noninterest-bearing deposits and stockholders’ equity, also fund interest-earning assets, net interest margin includes the benefit of these noninterest-bearing funding sources.</w:t>
      </w:r>
    </w:p>
    <w:p>
      <w:pPr>
        <w:spacing w:after="0" w:line="97"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In the first half of 2025, the target range for the federal funds rate was consistent at 4.25%-4.50%. In the second half of 2025, the FOMC decreased the federal funds rate by 25 bps in the third quarter and an additional 50 bps in the fourth quarter, reducing the target federal funds range to 3.50%-3.75%. The target range for the federal funds rate was unchanged in the first quarter of 2026. The average effective federal funds rate was 3.64% for the first quarter of 2026, compared to 3.90% for the fourth quarter of 2025, and 4.33% for the first quarter of 2025. Net interest income was slightly higher in the first quarter of 2026, compared to the prior quarter. Net interest margin FTE for the first quarter of 2026 was consistent with the previous quarter. Net interest income and net interest margin FTE increased in the first quarter of 2026 compared to the first quarter of 2025.</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First Quarter of 2026 vs. Fourth Quarter of 2025</w:t>
      </w:r>
    </w:p>
    <w:p>
      <w:pPr>
        <w:spacing w:after="0" w:line="138"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Net interest income for the first quarter of 2026 was $28.4 million, which was $163,000, or 0.6%, higher than the fourth quarter of 2025, due to a $217,000 decrease in interest expense, slightly offset by a $54,000 decrease in interest and dividend income. The decrease in interest expense was primarily due to our lowering of selected deposit rates. The decrease in interest and dividend income was driven by a $119,000 decrease in loan income, which was impacted by two less accrual days in the first quarter of 2026 compared to the prior quarter. Also contributing to this decrease was a $29,000 decrease in securities income, which was impacted by the repricing of variable rate securities as a result of the rate decreases in the fourth quarter of 2025. Income on short-term liquid assets increased $95,000 as a result of higher average balances in these assets, partially offset by the lower rate environment.</w:t>
      </w:r>
    </w:p>
    <w:p>
      <w:pPr>
        <w:spacing w:after="0" w:line="9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net interest margin FTE was 3.51% for the first quarter of 2026, which was consistent with the prior quarter. The net interest margin FTE was impacted by a consistent yield on loans, a lower yield on short-term liquid assets and securities, and lower deposit costs. The average rate on new and renewed loans was 6.71% for the first quarter of 2026 and 6.72% for the prior quarter. The yield on short-term liquid assets decreased 23 bps due to the reduction of the target federal funds rate in December. The yield on securities decreased by 2 bps due to repricing of variable rate securities. The cost of deposits decreased 3 bps to 1.47%, compared to 1.50% for the previous quarter, which was driven by our lowering of selected deposit rates.</w:t>
      </w:r>
    </w:p>
    <w:p>
      <w:pPr>
        <w:spacing w:after="0" w:line="97"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As of March 31, 2026, the target federal funds range was 3.50%-3.75%. The market’s expectation is that the federal funds range may remain consistent in 2026. During the remainder of 2026, we project $201.4 million of fixed rate loans at 5.87% to mature, which we expect to redeploy into loans with slightly higher rates. We have $463.8 million of floating rate loans at 6.16%, which we expect to remain at a consistent rate. Based on the current rate forecast, we expect the total loan yield to be slightly higher in the second quarter of 2026. We also expect to receive $90.9 million in securities cash flows at 3.66%, which we plan to redeploy into securities at higher yields. We project $515.0 million in time deposits at 3.50% to mature, which may reprice at slightly lower rates considering maturity volumes and renewal pricing. As of March 31, 2026, floating rate loans were 20.6% of loans HFI, and floating rate transaction deposits were 9.2% of interest-bearing</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520"/>
        <w:spacing w:after="0" w:line="304" w:lineRule="auto"/>
        <w:rPr>
          <w:sz w:val="20"/>
          <w:szCs w:val="20"/>
          <w:color w:val="auto"/>
        </w:rPr>
      </w:pPr>
      <w:r>
        <w:rPr>
          <w:rFonts w:ascii="Arial" w:cs="Arial" w:eastAsia="Arial" w:hAnsi="Arial"/>
          <w:sz w:val="16"/>
          <w:szCs w:val="16"/>
          <w:color w:val="auto"/>
        </w:rPr>
        <w:t>transaction deposits. Depending on balance sheet activity and interest rate competition, we expect net interest income and net interest margin FTE to increase slightly in the second quarter of 2026.</w:t>
      </w:r>
    </w:p>
    <w:p>
      <w:pPr>
        <w:spacing w:after="0" w:line="47"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The following table presents average balance sheet information, interest income, interest expense, and the corresponding average yields earned and rates paid for the three months ended March 31, 2026 and December 31, 2025:</w:t>
      </w: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4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5"/>
          </w:tcPr>
          <w:p>
            <w:pPr>
              <w:ind w:left="1000"/>
              <w:spacing w:after="0"/>
              <w:rPr>
                <w:sz w:val="20"/>
                <w:szCs w:val="20"/>
                <w:color w:val="auto"/>
              </w:rPr>
            </w:pPr>
            <w:r>
              <w:rPr>
                <w:rFonts w:ascii="Arial" w:cs="Arial" w:eastAsia="Arial" w:hAnsi="Arial"/>
                <w:sz w:val="16"/>
                <w:szCs w:val="16"/>
                <w:b w:val="1"/>
                <w:bCs w:val="1"/>
                <w:color w:val="auto"/>
              </w:rPr>
              <w:t>March 31, 2026</w:t>
            </w:r>
          </w:p>
        </w:tc>
        <w:tc>
          <w:tcPr>
            <w:tcW w:w="10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ind w:left="860"/>
              <w:spacing w:after="0"/>
              <w:rPr>
                <w:sz w:val="20"/>
                <w:szCs w:val="20"/>
                <w:color w:val="auto"/>
              </w:rPr>
            </w:pPr>
            <w:r>
              <w:rPr>
                <w:rFonts w:ascii="Arial" w:cs="Arial" w:eastAsia="Arial" w:hAnsi="Arial"/>
                <w:sz w:val="16"/>
                <w:szCs w:val="16"/>
                <w:b w:val="1"/>
                <w:bCs w:val="1"/>
                <w:color w:val="auto"/>
              </w:rPr>
              <w:t>December 31, 2025</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020" w:type="dxa"/>
            <w:vAlign w:val="bottom"/>
          </w:tcPr>
          <w:p>
            <w:pPr>
              <w:spacing w:after="0"/>
              <w:rPr>
                <w:sz w:val="12"/>
                <w:szCs w:val="12"/>
                <w:color w:val="auto"/>
              </w:rPr>
            </w:pPr>
          </w:p>
        </w:tc>
        <w:tc>
          <w:tcPr>
            <w:tcW w:w="14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Average Balance</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Interest</w:t>
            </w:r>
          </w:p>
        </w:tc>
        <w:tc>
          <w:tcPr>
            <w:tcW w:w="12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Average</w:t>
            </w: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Average Balance</w:t>
            </w:r>
          </w:p>
        </w:tc>
        <w:tc>
          <w:tcPr>
            <w:tcW w:w="120" w:type="dxa"/>
            <w:vAlign w:val="bottom"/>
          </w:tcPr>
          <w:p>
            <w:pPr>
              <w:spacing w:after="0"/>
              <w:rPr>
                <w:sz w:val="12"/>
                <w:szCs w:val="12"/>
                <w:color w:val="auto"/>
              </w:rPr>
            </w:pPr>
          </w:p>
        </w:tc>
        <w:tc>
          <w:tcPr>
            <w:tcW w:w="106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rPr>
              <w:t>Interest</w:t>
            </w:r>
          </w:p>
        </w:tc>
        <w:tc>
          <w:tcPr>
            <w:tcW w:w="920" w:type="dxa"/>
            <w:vAlign w:val="bottom"/>
          </w:tcPr>
          <w:p>
            <w:pPr>
              <w:jc w:val="center"/>
              <w:ind w:right="88"/>
              <w:spacing w:after="0" w:line="147"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4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Income/</w:t>
            </w:r>
          </w:p>
        </w:tc>
        <w:tc>
          <w:tcPr>
            <w:tcW w:w="12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Yield/</w:t>
            </w: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rPr>
              <w:t>Income/</w:t>
            </w:r>
          </w:p>
        </w:tc>
        <w:tc>
          <w:tcPr>
            <w:tcW w:w="920" w:type="dxa"/>
            <w:vAlign w:val="bottom"/>
          </w:tcPr>
          <w:p>
            <w:pPr>
              <w:jc w:val="center"/>
              <w:ind w:right="108"/>
              <w:spacing w:after="0" w:line="145" w:lineRule="exact"/>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89"/>
        </w:trPr>
        <w:tc>
          <w:tcPr>
            <w:tcW w:w="40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Expense</w:t>
            </w: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6"/>
                <w:szCs w:val="16"/>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Expense</w:t>
            </w:r>
          </w:p>
        </w:tc>
        <w:tc>
          <w:tcPr>
            <w:tcW w:w="92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183"/>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20" w:type="dxa"/>
            <w:vAlign w:val="bottom"/>
          </w:tcPr>
          <w:p>
            <w:pPr>
              <w:ind w:left="20"/>
              <w:spacing w:after="0"/>
              <w:rPr>
                <w:sz w:val="20"/>
                <w:szCs w:val="20"/>
                <w:color w:val="auto"/>
              </w:rPr>
            </w:pPr>
            <w:r>
              <w:rPr>
                <w:rFonts w:ascii="Arial" w:cs="Arial" w:eastAsia="Arial" w:hAnsi="Arial"/>
                <w:sz w:val="14"/>
                <w:szCs w:val="14"/>
                <w:color w:val="auto"/>
              </w:rPr>
              <w:t>Interest-earning assets:</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20" w:type="dxa"/>
            <w:vAlign w:val="bottom"/>
            <w:shd w:val="clear" w:color="auto" w:fill="CCEEFF"/>
          </w:tcPr>
          <w:p>
            <w:pPr>
              <w:ind w:left="140"/>
              <w:spacing w:after="0" w:line="207" w:lineRule="exact"/>
              <w:rPr>
                <w:sz w:val="20"/>
                <w:szCs w:val="20"/>
                <w:color w:val="auto"/>
              </w:rPr>
            </w:pPr>
            <w:r>
              <w:rPr>
                <w:rFonts w:ascii="Arial" w:cs="Arial" w:eastAsia="Arial" w:hAnsi="Arial"/>
                <w:sz w:val="23"/>
                <w:szCs w:val="23"/>
                <w:color w:val="auto"/>
                <w:vertAlign w:val="subscript"/>
              </w:rPr>
              <w:t>Loans</w:t>
            </w:r>
            <w:r>
              <w:rPr>
                <w:rFonts w:ascii="Arial" w:cs="Arial" w:eastAsia="Arial" w:hAnsi="Arial"/>
                <w:sz w:val="8"/>
                <w:szCs w:val="8"/>
                <w:color w:val="auto"/>
              </w:rPr>
              <w:t>(1,2)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2,255,394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31,545</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2,214,161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31,664</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198"/>
        </w:trPr>
        <w:tc>
          <w:tcPr>
            <w:tcW w:w="4020" w:type="dxa"/>
            <w:vAlign w:val="bottom"/>
          </w:tcPr>
          <w:p>
            <w:pPr>
              <w:ind w:left="140"/>
              <w:spacing w:after="0"/>
              <w:rPr>
                <w:sz w:val="20"/>
                <w:szCs w:val="20"/>
                <w:color w:val="auto"/>
              </w:rPr>
            </w:pPr>
            <w:r>
              <w:rPr>
                <w:rFonts w:ascii="Arial" w:cs="Arial" w:eastAsia="Arial" w:hAnsi="Arial"/>
                <w:sz w:val="14"/>
                <w:szCs w:val="14"/>
                <w:color w:val="auto"/>
              </w:rPr>
              <w:t>Securities - taxable</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629,550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4,872</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625,220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4,900</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07"/>
        </w:trPr>
        <w:tc>
          <w:tcPr>
            <w:tcW w:w="4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Securities - tax-exempt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182,996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183,911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973</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98"/>
        </w:trPr>
        <w:tc>
          <w:tcPr>
            <w:tcW w:w="4020" w:type="dxa"/>
            <w:vAlign w:val="bottom"/>
          </w:tcPr>
          <w:p>
            <w:pPr>
              <w:ind w:left="140"/>
              <w:spacing w:after="0"/>
              <w:rPr>
                <w:sz w:val="20"/>
                <w:szCs w:val="20"/>
                <w:color w:val="auto"/>
              </w:rPr>
            </w:pPr>
            <w:r>
              <w:rPr>
                <w:rFonts w:ascii="Arial" w:cs="Arial" w:eastAsia="Arial" w:hAnsi="Arial"/>
                <w:sz w:val="14"/>
                <w:szCs w:val="14"/>
                <w:color w:val="auto"/>
              </w:rPr>
              <w:t>Interest-bearing deposits in other banks</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191,843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1,737</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166,797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1,642</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207"/>
        </w:trPr>
        <w:tc>
          <w:tcPr>
            <w:tcW w:w="4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Nonmarketable equity securities</w:t>
            </w: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2,409</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2,389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192"/>
        </w:trPr>
        <w:tc>
          <w:tcPr>
            <w:tcW w:w="40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interest-earning assets</w:t>
            </w:r>
          </w:p>
        </w:tc>
        <w:tc>
          <w:tcPr>
            <w:tcW w:w="16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3,262,192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39,145</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4.80%</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3,192,478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39,199</w:t>
            </w:r>
          </w:p>
        </w:tc>
        <w:tc>
          <w:tcPr>
            <w:tcW w:w="2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187"/>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Allowance for credit losses</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(23,647)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(23,037)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Noninterest-earning assets</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127,068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120,146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3,365,613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3,289,587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0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Interest-bearing liabilities:</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20" w:type="dxa"/>
            <w:vAlign w:val="bottom"/>
          </w:tcPr>
          <w:p>
            <w:pPr>
              <w:ind w:left="140"/>
              <w:spacing w:after="0"/>
              <w:rPr>
                <w:sz w:val="20"/>
                <w:szCs w:val="20"/>
                <w:color w:val="auto"/>
              </w:rPr>
            </w:pPr>
            <w:r>
              <w:rPr>
                <w:rFonts w:ascii="Arial" w:cs="Arial" w:eastAsia="Arial" w:hAnsi="Arial"/>
                <w:sz w:val="14"/>
                <w:szCs w:val="14"/>
                <w:color w:val="auto"/>
              </w:rPr>
              <w:t>Interest-bearing transaction deposits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1,440,118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5,558</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1.57%</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1,348,461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5,527</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Time deposits</w:t>
            </w: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607,964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5,183</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608,448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5,431</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192"/>
        </w:trPr>
        <w:tc>
          <w:tcPr>
            <w:tcW w:w="4020" w:type="dxa"/>
            <w:vAlign w:val="bottom"/>
          </w:tcPr>
          <w:p>
            <w:pPr>
              <w:ind w:left="220"/>
              <w:spacing w:after="0"/>
              <w:rPr>
                <w:sz w:val="20"/>
                <w:szCs w:val="20"/>
                <w:color w:val="auto"/>
              </w:rPr>
            </w:pPr>
            <w:r>
              <w:rPr>
                <w:rFonts w:ascii="Arial" w:cs="Arial" w:eastAsia="Arial" w:hAnsi="Arial"/>
                <w:sz w:val="14"/>
                <w:szCs w:val="14"/>
                <w:color w:val="auto"/>
              </w:rPr>
              <w:t>Total interest-bearing deposits</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2,048,082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10,741</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1,956,909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10,958</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borrowings</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0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interest-bearing liabilities</w:t>
            </w:r>
          </w:p>
        </w:tc>
        <w:tc>
          <w:tcPr>
            <w:tcW w:w="160" w:type="dxa"/>
            <w:vAlign w:val="bottom"/>
            <w:tcBorders>
              <w:top w:val="single" w:sz="8" w:color="auto"/>
              <w:bottom w:val="single" w:sz="8" w:color="CCEEFF"/>
            </w:tcBorders>
          </w:tcPr>
          <w:p>
            <w:pPr>
              <w:spacing w:after="0"/>
              <w:rPr>
                <w:sz w:val="16"/>
                <w:szCs w:val="16"/>
                <w:color w:val="auto"/>
              </w:rPr>
            </w:pPr>
          </w:p>
        </w:tc>
        <w:tc>
          <w:tcPr>
            <w:tcW w:w="112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rPr>
              <w:t>2,048,082</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10,741</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2.13%</w:t>
            </w:r>
          </w:p>
        </w:tc>
        <w:tc>
          <w:tcPr>
            <w:tcW w:w="2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CCEEFF"/>
            </w:tcBorders>
          </w:tcPr>
          <w:p>
            <w:pPr>
              <w:spacing w:after="0"/>
              <w:rPr>
                <w:sz w:val="16"/>
                <w:szCs w:val="16"/>
                <w:color w:val="auto"/>
              </w:rPr>
            </w:pPr>
          </w:p>
        </w:tc>
        <w:tc>
          <w:tcPr>
            <w:tcW w:w="1140" w:type="dxa"/>
            <w:vAlign w:val="bottom"/>
            <w:tcBorders>
              <w:top w:val="single" w:sz="8" w:color="auto"/>
              <w:bottom w:val="single" w:sz="8" w:color="CCEEFF"/>
            </w:tcBorders>
          </w:tcPr>
          <w:p>
            <w:pPr>
              <w:jc w:val="right"/>
              <w:ind w:right="8"/>
              <w:spacing w:after="0"/>
              <w:rPr>
                <w:sz w:val="20"/>
                <w:szCs w:val="20"/>
                <w:color w:val="auto"/>
              </w:rPr>
            </w:pPr>
            <w:r>
              <w:rPr>
                <w:rFonts w:ascii="Arial" w:cs="Arial" w:eastAsia="Arial" w:hAnsi="Arial"/>
                <w:sz w:val="14"/>
                <w:szCs w:val="14"/>
                <w:color w:val="auto"/>
              </w:rPr>
              <w:t>1,956,909</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10,958</w:t>
            </w:r>
          </w:p>
        </w:tc>
        <w:tc>
          <w:tcPr>
            <w:tcW w:w="2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87"/>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Noninterest-bearing liabilities:</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20" w:type="dxa"/>
            <w:vAlign w:val="bottom"/>
          </w:tcPr>
          <w:p>
            <w:pPr>
              <w:ind w:left="140"/>
              <w:spacing w:after="0"/>
              <w:rPr>
                <w:sz w:val="20"/>
                <w:szCs w:val="20"/>
                <w:color w:val="auto"/>
              </w:rPr>
            </w:pPr>
            <w:r>
              <w:rPr>
                <w:rFonts w:ascii="Arial" w:cs="Arial" w:eastAsia="Arial" w:hAnsi="Arial"/>
                <w:sz w:val="14"/>
                <w:szCs w:val="14"/>
                <w:color w:val="auto"/>
              </w:rPr>
              <w:t>Noninterest-bearing deposits</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917,623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947,506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interest and other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24,986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25,770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20" w:type="dxa"/>
            <w:vAlign w:val="bottom"/>
          </w:tcPr>
          <w:p>
            <w:pPr>
              <w:ind w:left="220"/>
              <w:spacing w:after="0"/>
              <w:rPr>
                <w:sz w:val="20"/>
                <w:szCs w:val="20"/>
                <w:color w:val="auto"/>
              </w:rPr>
            </w:pPr>
            <w:r>
              <w:rPr>
                <w:rFonts w:ascii="Arial" w:cs="Arial" w:eastAsia="Arial" w:hAnsi="Arial"/>
                <w:sz w:val="14"/>
                <w:szCs w:val="14"/>
                <w:color w:val="auto"/>
              </w:rPr>
              <w:t>Total noninterest-bearing liabilities</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942,609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973,276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374,922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359,402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20" w:type="dxa"/>
            <w:vAlign w:val="bottom"/>
          </w:tcPr>
          <w:p>
            <w:pPr>
              <w:ind w:left="18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3,365,613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3,289,587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28,404</w:t>
            </w: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28,241</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interest spread</w:t>
            </w: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2.67%</w:t>
            </w: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2.60%</w:t>
            </w:r>
          </w:p>
        </w:tc>
        <w:tc>
          <w:tcPr>
            <w:tcW w:w="0" w:type="dxa"/>
            <w:vAlign w:val="bottom"/>
          </w:tcPr>
          <w:p>
            <w:pPr>
              <w:spacing w:after="0" w:line="20" w:lineRule="exact"/>
              <w:rPr>
                <w:sz w:val="1"/>
                <w:szCs w:val="1"/>
                <w:color w:val="auto"/>
              </w:rPr>
            </w:pPr>
          </w:p>
        </w:tc>
      </w:tr>
      <w:tr>
        <w:trPr>
          <w:trHeight w:val="145"/>
        </w:trPr>
        <w:tc>
          <w:tcPr>
            <w:tcW w:w="4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margin</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203"/>
        </w:trPr>
        <w:tc>
          <w:tcPr>
            <w:tcW w:w="4020" w:type="dxa"/>
            <w:vAlign w:val="bottom"/>
          </w:tcPr>
          <w:p>
            <w:pPr>
              <w:ind w:left="20"/>
              <w:spacing w:after="0" w:line="202" w:lineRule="exact"/>
              <w:rPr>
                <w:sz w:val="20"/>
                <w:szCs w:val="20"/>
                <w:color w:val="auto"/>
              </w:rPr>
            </w:pPr>
            <w:r>
              <w:rPr>
                <w:rFonts w:ascii="Arial" w:cs="Arial" w:eastAsia="Arial" w:hAnsi="Arial"/>
                <w:sz w:val="14"/>
                <w:szCs w:val="14"/>
                <w:color w:val="auto"/>
              </w:rPr>
              <w:t>Net interest margin FTE</w:t>
            </w:r>
            <w:r>
              <w:rPr>
                <w:rFonts w:ascii="Arial" w:cs="Arial" w:eastAsia="Arial" w:hAnsi="Arial"/>
                <w:sz w:val="18"/>
                <w:szCs w:val="18"/>
                <w:color w:val="auto"/>
                <w:vertAlign w:val="superscript"/>
              </w:rPr>
              <w:t>(3)</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deposits</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94"/>
        </w:trPr>
        <w:tc>
          <w:tcPr>
            <w:tcW w:w="4020" w:type="dxa"/>
            <w:vAlign w:val="bottom"/>
          </w:tcPr>
          <w:p>
            <w:pPr>
              <w:ind w:left="20"/>
              <w:spacing w:after="0"/>
              <w:rPr>
                <w:sz w:val="20"/>
                <w:szCs w:val="20"/>
                <w:color w:val="auto"/>
              </w:rPr>
            </w:pPr>
            <w:r>
              <w:rPr>
                <w:rFonts w:ascii="Arial" w:cs="Arial" w:eastAsia="Arial" w:hAnsi="Arial"/>
                <w:sz w:val="14"/>
                <w:szCs w:val="14"/>
                <w:color w:val="auto"/>
              </w:rPr>
              <w:t>Cost of funds</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160" w:hanging="152"/>
        <w:spacing w:after="0"/>
        <w:tabs>
          <w:tab w:leader="none" w:pos="160" w:val="left"/>
        </w:tabs>
        <w:numPr>
          <w:ilvl w:val="0"/>
          <w:numId w:val="19"/>
        </w:numPr>
        <w:rPr>
          <w:rFonts w:ascii="Arial" w:cs="Arial" w:eastAsia="Arial" w:hAnsi="Arial"/>
          <w:sz w:val="16"/>
          <w:szCs w:val="16"/>
          <w:color w:val="auto"/>
          <w:vertAlign w:val="superscript"/>
        </w:rPr>
      </w:pPr>
      <w:r>
        <w:rPr>
          <w:rFonts w:ascii="Arial" w:cs="Arial" w:eastAsia="Arial" w:hAnsi="Arial"/>
          <w:sz w:val="13"/>
          <w:szCs w:val="13"/>
          <w:color w:val="auto"/>
        </w:rPr>
        <w:t>Includes average outstanding balances of loans HFS of $2.7 million and $3.3 million for the three months ended March 31, 2026 and December 31, 2025, respectively.</w:t>
      </w:r>
    </w:p>
    <w:p>
      <w:pPr>
        <w:ind w:left="160" w:hanging="152"/>
        <w:spacing w:after="0" w:line="193" w:lineRule="auto"/>
        <w:tabs>
          <w:tab w:leader="none" w:pos="160" w:val="left"/>
        </w:tabs>
        <w:numPr>
          <w:ilvl w:val="0"/>
          <w:numId w:val="19"/>
        </w:numPr>
        <w:rPr>
          <w:rFonts w:ascii="Arial" w:cs="Arial" w:eastAsia="Arial" w:hAnsi="Arial"/>
          <w:sz w:val="16"/>
          <w:szCs w:val="16"/>
          <w:color w:val="auto"/>
          <w:vertAlign w:val="superscript"/>
        </w:rPr>
      </w:pPr>
      <w:r>
        <w:rPr>
          <w:rFonts w:ascii="Arial" w:cs="Arial" w:eastAsia="Arial" w:hAnsi="Arial"/>
          <w:sz w:val="13"/>
          <w:szCs w:val="13"/>
          <w:color w:val="auto"/>
        </w:rPr>
        <w:t>Nonaccrual loans are included as loans carrying a zero yield.</w:t>
      </w:r>
    </w:p>
    <w:p>
      <w:pPr>
        <w:ind w:left="160" w:hanging="152"/>
        <w:spacing w:after="0" w:line="200" w:lineRule="auto"/>
        <w:tabs>
          <w:tab w:leader="none" w:pos="160" w:val="left"/>
        </w:tabs>
        <w:numPr>
          <w:ilvl w:val="0"/>
          <w:numId w:val="19"/>
        </w:numPr>
        <w:rPr>
          <w:rFonts w:ascii="Arial" w:cs="Arial" w:eastAsia="Arial" w:hAnsi="Arial"/>
          <w:sz w:val="16"/>
          <w:szCs w:val="16"/>
          <w:color w:val="auto"/>
          <w:vertAlign w:val="superscript"/>
        </w:rPr>
      </w:pPr>
      <w:r>
        <w:rPr>
          <w:rFonts w:ascii="Arial" w:cs="Arial" w:eastAsia="Arial" w:hAnsi="Arial"/>
          <w:sz w:val="13"/>
          <w:szCs w:val="13"/>
          <w:color w:val="auto"/>
        </w:rPr>
        <w:t>Net interest margin FTE includes an FTE adjustment using a 21.0% federal income tax rate on tax-exempt securities and tax-exempt loans.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Three Months Ended March 31, 2026 vs. Three Months Ended March 31, 2025</w:t>
      </w:r>
    </w:p>
    <w:p>
      <w:pPr>
        <w:spacing w:after="0" w:line="138"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Net interest income for the three months ended March 31, 2026 was $28.4 million, which was $3.8 million, or 15.4%, higher than $24.6 million for the three months ended March 31, 2025. Net interest income increased due to a $3.3 million increase in interest and dividend income, combined with a $457,000 decrease in interest expense.</w:t>
      </w:r>
    </w:p>
    <w:p>
      <w:pPr>
        <w:spacing w:after="0" w:line="83"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The increase in interest and dividend income for the three months ended March 31, 2026, when compared to the three months ended March 31, 2025, was due to higher interest income on loans and securities, partially offset by a decrease in interest income on short-term liquid assets. Loan income increased $3.3 million due to higher average loan balances, combined with higher rates on new and renewed loans compared to the existing portfolio yield. Securities income increased $988,000 primarily due to purchasing higher yielding securities, combined with higher average securities balances. Interest income on short-term liquid assets decreased $924,000 due to lower average balances on these assets, combined with the FOMC lowering the federal funds rate in 2025.</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Net interest margin FTE increased 29 bps to 3.51% for the three months ended March 31, 2026, from 3.22% for the three months ended March 31, 2025, primarily due to higher yields on securities and loans, combined with lower deposit costs. These positive variances were partially offset by a 75 bp decrease to the yield on short-term liquid assets, due to the FOMC lowering the federal funds rate in 2025.</w:t>
      </w:r>
    </w:p>
    <w:p>
      <w:pPr>
        <w:spacing w:after="0" w:line="8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The yield on securities increased 29 bps mainly due to purchasing $145.3 million of securities in the last nine months of 2025 and an additional $24.7 million of securities in the first quarter of 2026, at favorable rates. The yield on loans increased 19 bps due to higher rates on new and renewed loans compared to the existing portfolio yield. The cost of deposits decreased 14 bps to 1.47% for the three months ended March 31, 2026, from 1.61% for the three months ended March 31, 2025, due to a 22 bp decrease in the rate on interest-bearing deposits. Within total interest-bearing deposits, the rate on time deposits and interest-bearing transaction deposits decreased 34 and 13 bps, respectively. These decreases occurred as we adjusted rates on selected transaction and time deposits during the second half of 2025 in response to the federal funds rate decreases by the FOMC.</w:t>
      </w:r>
    </w:p>
    <w:p>
      <w:pPr>
        <w:spacing w:after="0" w:line="9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following table presents average balance sheet information, interest income, interest expense, and the corresponding average yields earned and rates paid for the three months ended March 31, 2026 and 2025:</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4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5"/>
          </w:tcPr>
          <w:p>
            <w:pPr>
              <w:ind w:left="1000"/>
              <w:spacing w:after="0"/>
              <w:rPr>
                <w:sz w:val="20"/>
                <w:szCs w:val="20"/>
                <w:color w:val="auto"/>
              </w:rPr>
            </w:pPr>
            <w:r>
              <w:rPr>
                <w:rFonts w:ascii="Arial" w:cs="Arial" w:eastAsia="Arial" w:hAnsi="Arial"/>
                <w:sz w:val="16"/>
                <w:szCs w:val="16"/>
                <w:b w:val="1"/>
                <w:bCs w:val="1"/>
                <w:color w:val="auto"/>
              </w:rPr>
              <w:t>March 31, 2026</w:t>
            </w:r>
          </w:p>
        </w:tc>
        <w:tc>
          <w:tcPr>
            <w:tcW w:w="10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ind w:left="1020"/>
              <w:spacing w:after="0"/>
              <w:rPr>
                <w:sz w:val="20"/>
                <w:szCs w:val="20"/>
                <w:color w:val="auto"/>
              </w:rPr>
            </w:pPr>
            <w:r>
              <w:rPr>
                <w:rFonts w:ascii="Arial" w:cs="Arial" w:eastAsia="Arial" w:hAnsi="Arial"/>
                <w:sz w:val="16"/>
                <w:szCs w:val="16"/>
                <w:b w:val="1"/>
                <w:bCs w:val="1"/>
                <w:color w:val="auto"/>
              </w:rPr>
              <w:t>March 31, 2025</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020" w:type="dxa"/>
            <w:vAlign w:val="bottom"/>
          </w:tcPr>
          <w:p>
            <w:pPr>
              <w:spacing w:after="0"/>
              <w:rPr>
                <w:sz w:val="12"/>
                <w:szCs w:val="12"/>
                <w:color w:val="auto"/>
              </w:rPr>
            </w:pPr>
          </w:p>
        </w:tc>
        <w:tc>
          <w:tcPr>
            <w:tcW w:w="14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Average Balance</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Interest</w:t>
            </w:r>
          </w:p>
        </w:tc>
        <w:tc>
          <w:tcPr>
            <w:tcW w:w="12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Average</w:t>
            </w: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Average Balance</w:t>
            </w:r>
          </w:p>
        </w:tc>
        <w:tc>
          <w:tcPr>
            <w:tcW w:w="120" w:type="dxa"/>
            <w:vAlign w:val="bottom"/>
          </w:tcPr>
          <w:p>
            <w:pPr>
              <w:spacing w:after="0"/>
              <w:rPr>
                <w:sz w:val="12"/>
                <w:szCs w:val="12"/>
                <w:color w:val="auto"/>
              </w:rPr>
            </w:pPr>
          </w:p>
        </w:tc>
        <w:tc>
          <w:tcPr>
            <w:tcW w:w="98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rPr>
              <w:t>Interest</w:t>
            </w:r>
          </w:p>
        </w:tc>
        <w:tc>
          <w:tcPr>
            <w:tcW w:w="1000" w:type="dxa"/>
            <w:vAlign w:val="bottom"/>
          </w:tcPr>
          <w:p>
            <w:pPr>
              <w:jc w:val="center"/>
              <w:ind w:right="8"/>
              <w:spacing w:after="0" w:line="147"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4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Income/</w:t>
            </w:r>
          </w:p>
        </w:tc>
        <w:tc>
          <w:tcPr>
            <w:tcW w:w="12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Yield/</w:t>
            </w: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rPr>
              <w:t>Income/</w:t>
            </w:r>
          </w:p>
        </w:tc>
        <w:tc>
          <w:tcPr>
            <w:tcW w:w="100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89"/>
        </w:trPr>
        <w:tc>
          <w:tcPr>
            <w:tcW w:w="40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Expense</w:t>
            </w: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6"/>
                <w:szCs w:val="16"/>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Expense</w:t>
            </w:r>
          </w:p>
        </w:tc>
        <w:tc>
          <w:tcPr>
            <w:tcW w:w="1000" w:type="dxa"/>
            <w:vAlign w:val="bottom"/>
          </w:tcPr>
          <w:p>
            <w:pPr>
              <w:jc w:val="center"/>
              <w:ind w:right="28"/>
              <w:spacing w:after="0"/>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183"/>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20" w:type="dxa"/>
            <w:vAlign w:val="bottom"/>
          </w:tcPr>
          <w:p>
            <w:pPr>
              <w:ind w:left="20"/>
              <w:spacing w:after="0"/>
              <w:rPr>
                <w:sz w:val="20"/>
                <w:szCs w:val="20"/>
                <w:color w:val="auto"/>
              </w:rPr>
            </w:pPr>
            <w:r>
              <w:rPr>
                <w:rFonts w:ascii="Arial" w:cs="Arial" w:eastAsia="Arial" w:hAnsi="Arial"/>
                <w:sz w:val="14"/>
                <w:szCs w:val="14"/>
                <w:color w:val="auto"/>
              </w:rPr>
              <w:t>Interest-earning assets:</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Loans</w:t>
            </w:r>
            <w:r>
              <w:rPr>
                <w:rFonts w:ascii="Arial" w:cs="Arial" w:eastAsia="Arial" w:hAnsi="Arial"/>
                <w:sz w:val="18"/>
                <w:szCs w:val="18"/>
                <w:color w:val="auto"/>
                <w:vertAlign w:val="superscript"/>
              </w:rPr>
              <w:t>(1,2)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2,255,394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31,545</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2,089,712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28,270</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198"/>
        </w:trPr>
        <w:tc>
          <w:tcPr>
            <w:tcW w:w="4020" w:type="dxa"/>
            <w:vAlign w:val="bottom"/>
          </w:tcPr>
          <w:p>
            <w:pPr>
              <w:ind w:left="140"/>
              <w:spacing w:after="0"/>
              <w:rPr>
                <w:sz w:val="20"/>
                <w:szCs w:val="20"/>
                <w:color w:val="auto"/>
              </w:rPr>
            </w:pPr>
            <w:r>
              <w:rPr>
                <w:rFonts w:ascii="Arial" w:cs="Arial" w:eastAsia="Arial" w:hAnsi="Arial"/>
                <w:sz w:val="14"/>
                <w:szCs w:val="14"/>
                <w:color w:val="auto"/>
              </w:rPr>
              <w:t>Securities - taxable</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629,550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4,872</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559,752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3,871</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207"/>
        </w:trPr>
        <w:tc>
          <w:tcPr>
            <w:tcW w:w="4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Securities - tax-exempt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182,996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189,729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985</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98"/>
        </w:trPr>
        <w:tc>
          <w:tcPr>
            <w:tcW w:w="4020" w:type="dxa"/>
            <w:vAlign w:val="bottom"/>
          </w:tcPr>
          <w:p>
            <w:pPr>
              <w:ind w:left="140"/>
              <w:spacing w:after="0"/>
              <w:rPr>
                <w:sz w:val="20"/>
                <w:szCs w:val="20"/>
                <w:color w:val="auto"/>
              </w:rPr>
            </w:pPr>
            <w:r>
              <w:rPr>
                <w:rFonts w:ascii="Arial" w:cs="Arial" w:eastAsia="Arial" w:hAnsi="Arial"/>
                <w:sz w:val="14"/>
                <w:szCs w:val="14"/>
                <w:color w:val="auto"/>
              </w:rPr>
              <w:t>Interest-bearing deposits in other banks</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191,843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1,737</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243,751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2,661</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207"/>
        </w:trPr>
        <w:tc>
          <w:tcPr>
            <w:tcW w:w="4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Nonmarketable equity securities</w:t>
            </w: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2,409</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2,330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92"/>
        </w:trPr>
        <w:tc>
          <w:tcPr>
            <w:tcW w:w="40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interest-earning assets</w:t>
            </w:r>
          </w:p>
        </w:tc>
        <w:tc>
          <w:tcPr>
            <w:tcW w:w="16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3,262,192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39,145</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4.80%</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3,085,274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35,808</w:t>
            </w:r>
          </w:p>
        </w:tc>
        <w:tc>
          <w:tcPr>
            <w:tcW w:w="2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187"/>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Allowance for credit losses</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(23,647)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(21,789)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Noninterest-earning assets</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127,068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107,295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3,365,613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3,170,780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0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Interest-bearing liabilities:</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20" w:type="dxa"/>
            <w:vAlign w:val="bottom"/>
          </w:tcPr>
          <w:p>
            <w:pPr>
              <w:ind w:left="140"/>
              <w:spacing w:after="0"/>
              <w:rPr>
                <w:sz w:val="20"/>
                <w:szCs w:val="20"/>
                <w:color w:val="auto"/>
              </w:rPr>
            </w:pPr>
            <w:r>
              <w:rPr>
                <w:rFonts w:ascii="Arial" w:cs="Arial" w:eastAsia="Arial" w:hAnsi="Arial"/>
                <w:sz w:val="14"/>
                <w:szCs w:val="14"/>
                <w:color w:val="auto"/>
              </w:rPr>
              <w:t>Interest-bearing transaction deposits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1,440,118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5,558</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1.57%</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1,341,885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5,641</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07"/>
        </w:trPr>
        <w:tc>
          <w:tcPr>
            <w:tcW w:w="4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Time deposits</w:t>
            </w: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607,964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5,183</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592,368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5,557</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192"/>
        </w:trPr>
        <w:tc>
          <w:tcPr>
            <w:tcW w:w="4020" w:type="dxa"/>
            <w:vAlign w:val="bottom"/>
          </w:tcPr>
          <w:p>
            <w:pPr>
              <w:ind w:left="220"/>
              <w:spacing w:after="0"/>
              <w:rPr>
                <w:sz w:val="20"/>
                <w:szCs w:val="20"/>
                <w:color w:val="auto"/>
              </w:rPr>
            </w:pPr>
            <w:r>
              <w:rPr>
                <w:rFonts w:ascii="Arial" w:cs="Arial" w:eastAsia="Arial" w:hAnsi="Arial"/>
                <w:sz w:val="14"/>
                <w:szCs w:val="14"/>
                <w:color w:val="auto"/>
              </w:rPr>
              <w:t>Total interest-bearing deposits</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2,048,082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10,741</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1,934,253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11,198</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borrowings</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0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interest-bearing liabilities</w:t>
            </w:r>
          </w:p>
        </w:tc>
        <w:tc>
          <w:tcPr>
            <w:tcW w:w="160" w:type="dxa"/>
            <w:vAlign w:val="bottom"/>
            <w:tcBorders>
              <w:top w:val="single" w:sz="8" w:color="auto"/>
              <w:bottom w:val="single" w:sz="8" w:color="CCEEFF"/>
            </w:tcBorders>
          </w:tcPr>
          <w:p>
            <w:pPr>
              <w:spacing w:after="0"/>
              <w:rPr>
                <w:sz w:val="16"/>
                <w:szCs w:val="16"/>
                <w:color w:val="auto"/>
              </w:rPr>
            </w:pPr>
          </w:p>
        </w:tc>
        <w:tc>
          <w:tcPr>
            <w:tcW w:w="112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rPr>
              <w:t>2,048,082</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10,741</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2.13%</w:t>
            </w:r>
          </w:p>
        </w:tc>
        <w:tc>
          <w:tcPr>
            <w:tcW w:w="2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CCEEFF"/>
            </w:tcBorders>
          </w:tcPr>
          <w:p>
            <w:pPr>
              <w:spacing w:after="0"/>
              <w:rPr>
                <w:sz w:val="16"/>
                <w:szCs w:val="16"/>
                <w:color w:val="auto"/>
              </w:rPr>
            </w:pPr>
          </w:p>
        </w:tc>
        <w:tc>
          <w:tcPr>
            <w:tcW w:w="1140" w:type="dxa"/>
            <w:vAlign w:val="bottom"/>
            <w:tcBorders>
              <w:top w:val="single" w:sz="8" w:color="auto"/>
              <w:bottom w:val="single" w:sz="8" w:color="CCEEFF"/>
            </w:tcBorders>
          </w:tcPr>
          <w:p>
            <w:pPr>
              <w:jc w:val="right"/>
              <w:ind w:right="8"/>
              <w:spacing w:after="0"/>
              <w:rPr>
                <w:sz w:val="20"/>
                <w:szCs w:val="20"/>
                <w:color w:val="auto"/>
              </w:rPr>
            </w:pPr>
            <w:r>
              <w:rPr>
                <w:rFonts w:ascii="Arial" w:cs="Arial" w:eastAsia="Arial" w:hAnsi="Arial"/>
                <w:sz w:val="14"/>
                <w:szCs w:val="14"/>
                <w:color w:val="auto"/>
              </w:rPr>
              <w:t>1,934,253</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11,198</w:t>
            </w:r>
          </w:p>
        </w:tc>
        <w:tc>
          <w:tcPr>
            <w:tcW w:w="2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86"/>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Noninterest-bearing liabilities:</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020" w:type="dxa"/>
            <w:vAlign w:val="bottom"/>
          </w:tcPr>
          <w:p>
            <w:pPr>
              <w:ind w:left="140"/>
              <w:spacing w:after="0"/>
              <w:rPr>
                <w:sz w:val="20"/>
                <w:szCs w:val="20"/>
                <w:color w:val="auto"/>
              </w:rPr>
            </w:pPr>
            <w:r>
              <w:rPr>
                <w:rFonts w:ascii="Arial" w:cs="Arial" w:eastAsia="Arial" w:hAnsi="Arial"/>
                <w:sz w:val="14"/>
                <w:szCs w:val="14"/>
                <w:color w:val="auto"/>
              </w:rPr>
              <w:t>Noninterest-bearing deposits</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917,623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884,484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interest and other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24,986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25,336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20" w:type="dxa"/>
            <w:vAlign w:val="bottom"/>
          </w:tcPr>
          <w:p>
            <w:pPr>
              <w:ind w:left="220"/>
              <w:spacing w:after="0"/>
              <w:rPr>
                <w:sz w:val="20"/>
                <w:szCs w:val="20"/>
                <w:color w:val="auto"/>
              </w:rPr>
            </w:pPr>
            <w:r>
              <w:rPr>
                <w:rFonts w:ascii="Arial" w:cs="Arial" w:eastAsia="Arial" w:hAnsi="Arial"/>
                <w:sz w:val="14"/>
                <w:szCs w:val="14"/>
                <w:color w:val="auto"/>
              </w:rPr>
              <w:t>Total noninterest-bearing liabilities</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942,609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909,820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374,922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326,707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20" w:type="dxa"/>
            <w:vAlign w:val="bottom"/>
          </w:tcPr>
          <w:p>
            <w:pPr>
              <w:ind w:left="34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3,365,613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3,170,780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28,404</w:t>
            </w: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24,610</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interest spread</w:t>
            </w: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2.67%</w:t>
            </w: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line="20" w:lineRule="exact"/>
              <w:rPr>
                <w:sz w:val="1"/>
                <w:szCs w:val="1"/>
                <w:color w:val="auto"/>
              </w:rPr>
            </w:pPr>
          </w:p>
        </w:tc>
      </w:tr>
      <w:tr>
        <w:trPr>
          <w:trHeight w:val="145"/>
        </w:trPr>
        <w:tc>
          <w:tcPr>
            <w:tcW w:w="4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margin</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03"/>
        </w:trPr>
        <w:tc>
          <w:tcPr>
            <w:tcW w:w="4020" w:type="dxa"/>
            <w:vAlign w:val="bottom"/>
          </w:tcPr>
          <w:p>
            <w:pPr>
              <w:ind w:left="20"/>
              <w:spacing w:after="0" w:line="202" w:lineRule="exact"/>
              <w:rPr>
                <w:sz w:val="20"/>
                <w:szCs w:val="20"/>
                <w:color w:val="auto"/>
              </w:rPr>
            </w:pPr>
            <w:r>
              <w:rPr>
                <w:rFonts w:ascii="Arial" w:cs="Arial" w:eastAsia="Arial" w:hAnsi="Arial"/>
                <w:sz w:val="14"/>
                <w:szCs w:val="14"/>
                <w:color w:val="auto"/>
              </w:rPr>
              <w:t>Net interest margin FTE</w:t>
            </w:r>
            <w:r>
              <w:rPr>
                <w:rFonts w:ascii="Arial" w:cs="Arial" w:eastAsia="Arial" w:hAnsi="Arial"/>
                <w:sz w:val="18"/>
                <w:szCs w:val="18"/>
                <w:color w:val="auto"/>
                <w:vertAlign w:val="superscript"/>
              </w:rPr>
              <w:t>(3)</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deposits</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95"/>
        </w:trPr>
        <w:tc>
          <w:tcPr>
            <w:tcW w:w="4020" w:type="dxa"/>
            <w:vAlign w:val="bottom"/>
          </w:tcPr>
          <w:p>
            <w:pPr>
              <w:ind w:left="20"/>
              <w:spacing w:after="0"/>
              <w:rPr>
                <w:sz w:val="20"/>
                <w:szCs w:val="20"/>
                <w:color w:val="auto"/>
              </w:rPr>
            </w:pPr>
            <w:r>
              <w:rPr>
                <w:rFonts w:ascii="Arial" w:cs="Arial" w:eastAsia="Arial" w:hAnsi="Arial"/>
                <w:sz w:val="14"/>
                <w:szCs w:val="14"/>
                <w:color w:val="auto"/>
              </w:rPr>
              <w:t>Cost of funds</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160" w:hanging="152"/>
        <w:spacing w:after="0"/>
        <w:tabs>
          <w:tab w:leader="none" w:pos="160" w:val="left"/>
        </w:tabs>
        <w:numPr>
          <w:ilvl w:val="0"/>
          <w:numId w:val="20"/>
        </w:numPr>
        <w:rPr>
          <w:rFonts w:ascii="Arial" w:cs="Arial" w:eastAsia="Arial" w:hAnsi="Arial"/>
          <w:sz w:val="16"/>
          <w:szCs w:val="16"/>
          <w:color w:val="auto"/>
          <w:vertAlign w:val="superscript"/>
        </w:rPr>
      </w:pPr>
      <w:r>
        <w:rPr>
          <w:rFonts w:ascii="Arial" w:cs="Arial" w:eastAsia="Arial" w:hAnsi="Arial"/>
          <w:sz w:val="13"/>
          <w:szCs w:val="13"/>
          <w:color w:val="auto"/>
        </w:rPr>
        <w:t>Includes average outstanding balances of loans HFS of $2.7 million and $2.6 million for the three months ended March 31, 2026 and 2025, respectively.</w:t>
      </w:r>
    </w:p>
    <w:p>
      <w:pPr>
        <w:ind w:left="160" w:hanging="152"/>
        <w:spacing w:after="0" w:line="193" w:lineRule="auto"/>
        <w:tabs>
          <w:tab w:leader="none" w:pos="160" w:val="left"/>
        </w:tabs>
        <w:numPr>
          <w:ilvl w:val="0"/>
          <w:numId w:val="20"/>
        </w:numPr>
        <w:rPr>
          <w:rFonts w:ascii="Arial" w:cs="Arial" w:eastAsia="Arial" w:hAnsi="Arial"/>
          <w:sz w:val="16"/>
          <w:szCs w:val="16"/>
          <w:color w:val="auto"/>
          <w:vertAlign w:val="superscript"/>
        </w:rPr>
      </w:pPr>
      <w:r>
        <w:rPr>
          <w:rFonts w:ascii="Arial" w:cs="Arial" w:eastAsia="Arial" w:hAnsi="Arial"/>
          <w:sz w:val="13"/>
          <w:szCs w:val="13"/>
          <w:color w:val="auto"/>
        </w:rPr>
        <w:t>Nonaccrual loans are included as loans carrying a zero yield.</w:t>
      </w:r>
    </w:p>
    <w:p>
      <w:pPr>
        <w:ind w:left="160" w:hanging="152"/>
        <w:spacing w:after="0" w:line="200" w:lineRule="auto"/>
        <w:tabs>
          <w:tab w:leader="none" w:pos="160" w:val="left"/>
        </w:tabs>
        <w:numPr>
          <w:ilvl w:val="0"/>
          <w:numId w:val="20"/>
        </w:numPr>
        <w:rPr>
          <w:rFonts w:ascii="Arial" w:cs="Arial" w:eastAsia="Arial" w:hAnsi="Arial"/>
          <w:sz w:val="16"/>
          <w:szCs w:val="16"/>
          <w:color w:val="auto"/>
          <w:vertAlign w:val="superscript"/>
        </w:rPr>
      </w:pPr>
      <w:r>
        <w:rPr>
          <w:rFonts w:ascii="Arial" w:cs="Arial" w:eastAsia="Arial" w:hAnsi="Arial"/>
          <w:sz w:val="13"/>
          <w:szCs w:val="13"/>
          <w:color w:val="auto"/>
        </w:rPr>
        <w:t>Net interest margin FTE includes an FTE adjustment using a 21.0% federal income tax rate on tax-exempt securities and tax-exempt loans.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Rate/Volume Analysis</w:t>
      </w:r>
    </w:p>
    <w:p>
      <w:pPr>
        <w:spacing w:after="0" w:line="138"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Increases and decreases in interest income and interest expense result from changes in average balances (volume) of interest-earning assets and interest-bearing liabilities, as well as changes in average interest rates. The following table presents the dollar amount of changes in interest income and interest expense for major components of interest-earning assets and interest-bearing liabilities for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gridSpan w:val="8"/>
          </w:tcPr>
          <w:p>
            <w:pPr>
              <w:jc w:val="center"/>
              <w:ind w:right="240"/>
              <w:spacing w:after="0"/>
              <w:rPr>
                <w:sz w:val="20"/>
                <w:szCs w:val="20"/>
                <w:color w:val="auto"/>
              </w:rPr>
            </w:pPr>
            <w:r>
              <w:rPr>
                <w:rFonts w:ascii="Arial" w:cs="Arial" w:eastAsia="Arial" w:hAnsi="Arial"/>
                <w:sz w:val="16"/>
                <w:szCs w:val="16"/>
                <w:b w:val="1"/>
                <w:bCs w:val="1"/>
                <w:color w:val="auto"/>
              </w:rPr>
              <w:t>For the Three Months Ended</w:t>
            </w:r>
          </w:p>
        </w:tc>
        <w:tc>
          <w:tcPr>
            <w:tcW w:w="160" w:type="dxa"/>
            <w:vAlign w:val="bottom"/>
          </w:tcPr>
          <w:p>
            <w:pPr>
              <w:spacing w:after="0"/>
              <w:rPr>
                <w:sz w:val="18"/>
                <w:szCs w:val="18"/>
                <w:color w:val="auto"/>
              </w:rPr>
            </w:pPr>
          </w:p>
        </w:tc>
        <w:tc>
          <w:tcPr>
            <w:tcW w:w="3420" w:type="dxa"/>
            <w:vAlign w:val="bottom"/>
            <w:gridSpan w:val="7"/>
          </w:tcPr>
          <w:p>
            <w:pPr>
              <w:jc w:val="center"/>
              <w:ind w:right="8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163"/>
        </w:trPr>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60" w:type="dxa"/>
            <w:vAlign w:val="bottom"/>
            <w:gridSpan w:val="7"/>
          </w:tcPr>
          <w:p>
            <w:pPr>
              <w:jc w:val="center"/>
              <w:ind w:right="1120"/>
              <w:spacing w:after="0" w:line="163" w:lineRule="exact"/>
              <w:rPr>
                <w:sz w:val="20"/>
                <w:szCs w:val="20"/>
                <w:color w:val="auto"/>
              </w:rPr>
            </w:pPr>
            <w:r>
              <w:rPr>
                <w:rFonts w:ascii="Arial" w:cs="Arial" w:eastAsia="Arial" w:hAnsi="Arial"/>
                <w:sz w:val="16"/>
                <w:szCs w:val="16"/>
                <w:b w:val="1"/>
                <w:bCs w:val="1"/>
                <w:color w:val="auto"/>
              </w:rPr>
              <w:t>March 31, 2026 vs.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60" w:type="dxa"/>
            <w:vAlign w:val="bottom"/>
            <w:gridSpan w:val="6"/>
          </w:tcPr>
          <w:p>
            <w:pPr>
              <w:jc w:val="center"/>
              <w:ind w:right="940"/>
              <w:spacing w:after="0" w:line="163" w:lineRule="exact"/>
              <w:rPr>
                <w:sz w:val="20"/>
                <w:szCs w:val="20"/>
                <w:color w:val="auto"/>
              </w:rPr>
            </w:pPr>
            <w:r>
              <w:rPr>
                <w:rFonts w:ascii="Arial" w:cs="Arial" w:eastAsia="Arial" w:hAnsi="Arial"/>
                <w:sz w:val="16"/>
                <w:szCs w:val="16"/>
                <w:b w:val="1"/>
                <w:bCs w:val="1"/>
                <w:color w:val="auto"/>
              </w:rPr>
              <w:t>March 31, 2026 vs.</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center"/>
              <w:ind w:right="940"/>
              <w:spacing w:after="0"/>
              <w:rPr>
                <w:sz w:val="20"/>
                <w:szCs w:val="20"/>
                <w:color w:val="auto"/>
              </w:rPr>
            </w:pPr>
            <w:r>
              <w:rPr>
                <w:rFonts w:ascii="Arial" w:cs="Arial" w:eastAsia="Arial" w:hAnsi="Arial"/>
                <w:sz w:val="16"/>
                <w:szCs w:val="16"/>
                <w:b w:val="1"/>
                <w:bCs w:val="1"/>
                <w:color w:val="auto"/>
              </w:rPr>
              <w:t>December 31, 2025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March 31, 2025</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5"/>
          </w:tcPr>
          <w:p>
            <w:pPr>
              <w:jc w:val="center"/>
              <w:ind w:right="260"/>
              <w:spacing w:after="0" w:line="169" w:lineRule="exact"/>
              <w:rPr>
                <w:sz w:val="20"/>
                <w:szCs w:val="20"/>
                <w:color w:val="auto"/>
              </w:rPr>
            </w:pPr>
            <w:r>
              <w:rPr>
                <w:rFonts w:ascii="Arial" w:cs="Arial" w:eastAsia="Arial" w:hAnsi="Arial"/>
                <w:sz w:val="16"/>
                <w:szCs w:val="16"/>
                <w:b w:val="1"/>
                <w:bCs w:val="1"/>
                <w:color w:val="auto"/>
              </w:rPr>
              <w:t>Increase (Decrease)</w:t>
            </w:r>
          </w:p>
        </w:tc>
        <w:tc>
          <w:tcPr>
            <w:tcW w:w="16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Total</w:t>
            </w:r>
          </w:p>
        </w:tc>
        <w:tc>
          <w:tcPr>
            <w:tcW w:w="160" w:type="dxa"/>
            <w:vAlign w:val="bottom"/>
          </w:tcPr>
          <w:p>
            <w:pPr>
              <w:spacing w:after="0"/>
              <w:rPr>
                <w:sz w:val="14"/>
                <w:szCs w:val="14"/>
                <w:color w:val="auto"/>
              </w:rPr>
            </w:pPr>
          </w:p>
        </w:tc>
        <w:tc>
          <w:tcPr>
            <w:tcW w:w="2060" w:type="dxa"/>
            <w:vAlign w:val="bottom"/>
            <w:gridSpan w:val="5"/>
          </w:tcPr>
          <w:p>
            <w:pPr>
              <w:jc w:val="center"/>
              <w:ind w:right="260"/>
              <w:spacing w:after="0" w:line="169" w:lineRule="exact"/>
              <w:rPr>
                <w:sz w:val="20"/>
                <w:szCs w:val="20"/>
                <w:color w:val="auto"/>
              </w:rPr>
            </w:pPr>
            <w:r>
              <w:rPr>
                <w:rFonts w:ascii="Arial" w:cs="Arial" w:eastAsia="Arial" w:hAnsi="Arial"/>
                <w:sz w:val="16"/>
                <w:szCs w:val="16"/>
                <w:b w:val="1"/>
                <w:bCs w:val="1"/>
                <w:color w:val="auto"/>
              </w:rPr>
              <w:t>Increase (Decrease)</w:t>
            </w:r>
          </w:p>
        </w:tc>
        <w:tc>
          <w:tcPr>
            <w:tcW w:w="180" w:type="dxa"/>
            <w:vAlign w:val="bottom"/>
          </w:tcPr>
          <w:p>
            <w:pPr>
              <w:spacing w:after="0"/>
              <w:rPr>
                <w:sz w:val="14"/>
                <w:szCs w:val="14"/>
                <w:color w:val="auto"/>
              </w:rPr>
            </w:pPr>
          </w:p>
        </w:tc>
        <w:tc>
          <w:tcPr>
            <w:tcW w:w="1180" w:type="dxa"/>
            <w:vAlign w:val="bottom"/>
            <w:vMerge w:val="restart"/>
          </w:tcPr>
          <w:p>
            <w:pPr>
              <w:jc w:val="center"/>
              <w:ind w:right="10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gridSpan w:val="5"/>
          </w:tcPr>
          <w:p>
            <w:pPr>
              <w:jc w:val="center"/>
              <w:ind w:right="260"/>
              <w:spacing w:after="0" w:line="148" w:lineRule="exact"/>
              <w:rPr>
                <w:sz w:val="20"/>
                <w:szCs w:val="20"/>
                <w:color w:val="auto"/>
              </w:rPr>
            </w:pPr>
            <w:r>
              <w:rPr>
                <w:rFonts w:ascii="Arial" w:cs="Arial" w:eastAsia="Arial" w:hAnsi="Arial"/>
                <w:sz w:val="16"/>
                <w:szCs w:val="16"/>
                <w:b w:val="1"/>
                <w:bCs w:val="1"/>
                <w:color w:val="auto"/>
              </w:rPr>
              <w:t>Due to Change in</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gridSpan w:val="5"/>
          </w:tcPr>
          <w:p>
            <w:pPr>
              <w:jc w:val="center"/>
              <w:ind w:right="260"/>
              <w:spacing w:after="0" w:line="148" w:lineRule="exact"/>
              <w:rPr>
                <w:sz w:val="20"/>
                <w:szCs w:val="20"/>
                <w:color w:val="auto"/>
              </w:rPr>
            </w:pPr>
            <w:r>
              <w:rPr>
                <w:rFonts w:ascii="Arial" w:cs="Arial" w:eastAsia="Arial" w:hAnsi="Arial"/>
                <w:sz w:val="16"/>
                <w:szCs w:val="16"/>
                <w:b w:val="1"/>
                <w:bCs w:val="1"/>
                <w:color w:val="auto"/>
              </w:rPr>
              <w:t>Due to Change in</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9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rPr>
              <w:t>Increase</w:t>
            </w: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restart"/>
          </w:tcPr>
          <w:p>
            <w:pPr>
              <w:jc w:val="center"/>
              <w:ind w:right="120"/>
              <w:spacing w:after="0" w:line="122"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34"/>
        </w:trPr>
        <w:tc>
          <w:tcPr>
            <w:tcW w:w="39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2"/>
                <w:szCs w:val="2"/>
                <w:color w:val="auto"/>
              </w:rPr>
            </w:pPr>
          </w:p>
        </w:tc>
        <w:tc>
          <w:tcPr>
            <w:tcW w:w="8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Volume</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Rate</w:t>
            </w:r>
          </w:p>
        </w:tc>
        <w:tc>
          <w:tcPr>
            <w:tcW w:w="16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Volume</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Rate</w:t>
            </w:r>
          </w:p>
        </w:tc>
        <w:tc>
          <w:tcPr>
            <w:tcW w:w="18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line="203" w:lineRule="exact"/>
              <w:rPr>
                <w:sz w:val="20"/>
                <w:szCs w:val="20"/>
                <w:color w:val="auto"/>
              </w:rPr>
            </w:pPr>
            <w:r>
              <w:rPr>
                <w:rFonts w:ascii="Arial" w:cs="Arial" w:eastAsia="Arial" w:hAnsi="Arial"/>
                <w:sz w:val="16"/>
                <w:szCs w:val="16"/>
                <w:b w:val="1"/>
                <w:bCs w:val="1"/>
                <w:color w:val="auto"/>
                <w:w w:val="97"/>
              </w:rPr>
              <w:t>(Decrease)</w:t>
            </w:r>
            <w:r>
              <w:rPr>
                <w:rFonts w:ascii="Arial" w:cs="Arial" w:eastAsia="Arial" w:hAnsi="Arial"/>
                <w:sz w:val="21"/>
                <w:szCs w:val="21"/>
                <w:b w:val="1"/>
                <w:bCs w:val="1"/>
                <w:color w:val="auto"/>
                <w:w w:val="97"/>
                <w:vertAlign w:val="superscript"/>
              </w:rPr>
              <w:t>(1)</w:t>
            </w: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100"/>
              <w:spacing w:after="0" w:line="203" w:lineRule="exact"/>
              <w:rPr>
                <w:sz w:val="20"/>
                <w:szCs w:val="20"/>
                <w:color w:val="auto"/>
              </w:rPr>
            </w:pPr>
            <w:r>
              <w:rPr>
                <w:rFonts w:ascii="Arial" w:cs="Arial" w:eastAsia="Arial" w:hAnsi="Arial"/>
                <w:sz w:val="16"/>
                <w:szCs w:val="16"/>
                <w:b w:val="1"/>
                <w:bCs w:val="1"/>
                <w:color w:val="auto"/>
                <w:w w:val="97"/>
              </w:rPr>
              <w:t>(Decrease)</w:t>
            </w:r>
            <w:r>
              <w:rPr>
                <w:rFonts w:ascii="Arial" w:cs="Arial" w:eastAsia="Arial" w:hAnsi="Arial"/>
                <w:sz w:val="21"/>
                <w:szCs w:val="21"/>
                <w:b w:val="1"/>
                <w:bCs w:val="1"/>
                <w:color w:val="auto"/>
                <w:w w:val="97"/>
                <w:vertAlign w:val="superscript"/>
              </w:rPr>
              <w:t>(1)</w:t>
            </w:r>
          </w:p>
        </w:tc>
        <w:tc>
          <w:tcPr>
            <w:tcW w:w="0" w:type="dxa"/>
            <w:vAlign w:val="bottom"/>
          </w:tcPr>
          <w:p>
            <w:pPr>
              <w:spacing w:after="0"/>
              <w:rPr>
                <w:sz w:val="1"/>
                <w:szCs w:val="1"/>
                <w:color w:val="auto"/>
              </w:rPr>
            </w:pPr>
          </w:p>
        </w:tc>
      </w:tr>
      <w:tr>
        <w:trPr>
          <w:trHeight w:val="196"/>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Interest-earning assets:</w:t>
            </w: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980" w:type="dxa"/>
            <w:vAlign w:val="bottom"/>
          </w:tcPr>
          <w:p>
            <w:pPr>
              <w:ind w:left="260"/>
              <w:spacing w:after="0"/>
              <w:rPr>
                <w:sz w:val="20"/>
                <w:szCs w:val="20"/>
                <w:color w:val="auto"/>
              </w:rPr>
            </w:pPr>
            <w:r>
              <w:rPr>
                <w:rFonts w:ascii="Arial" w:cs="Arial" w:eastAsia="Arial" w:hAnsi="Arial"/>
                <w:sz w:val="16"/>
                <w:szCs w:val="16"/>
                <w:color w:val="auto"/>
              </w:rPr>
              <w:t>Loans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590</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(709)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2,242</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1,033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3,275</w:t>
            </w:r>
          </w:p>
        </w:tc>
        <w:tc>
          <w:tcPr>
            <w:tcW w:w="0" w:type="dxa"/>
            <w:vAlign w:val="bottom"/>
          </w:tcPr>
          <w:p>
            <w:pPr>
              <w:spacing w:after="0"/>
              <w:rPr>
                <w:sz w:val="1"/>
                <w:szCs w:val="1"/>
                <w:color w:val="auto"/>
              </w:rPr>
            </w:pPr>
          </w:p>
        </w:tc>
      </w:tr>
      <w:tr>
        <w:trPr>
          <w:trHeight w:val="217"/>
        </w:trPr>
        <w:tc>
          <w:tcPr>
            <w:tcW w:w="39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Securities - taxable</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0" w:type="dxa"/>
            <w:vAlign w:val="bottom"/>
          </w:tcPr>
          <w:p>
            <w:pPr>
              <w:spacing w:after="0"/>
              <w:rPr>
                <w:sz w:val="1"/>
                <w:szCs w:val="1"/>
                <w:color w:val="auto"/>
              </w:rPr>
            </w:pPr>
          </w:p>
        </w:tc>
      </w:tr>
      <w:tr>
        <w:trPr>
          <w:trHeight w:val="215"/>
        </w:trPr>
        <w:tc>
          <w:tcPr>
            <w:tcW w:w="3980" w:type="dxa"/>
            <w:vAlign w:val="bottom"/>
          </w:tcPr>
          <w:p>
            <w:pPr>
              <w:ind w:left="260"/>
              <w:spacing w:after="0"/>
              <w:rPr>
                <w:sz w:val="20"/>
                <w:szCs w:val="20"/>
                <w:color w:val="auto"/>
              </w:rPr>
            </w:pPr>
            <w:r>
              <w:rPr>
                <w:rFonts w:ascii="Arial" w:cs="Arial" w:eastAsia="Arial" w:hAnsi="Arial"/>
                <w:sz w:val="16"/>
                <w:szCs w:val="16"/>
                <w:color w:val="auto"/>
              </w:rPr>
              <w:t>Securities - tax-exempt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7"/>
        </w:trPr>
        <w:tc>
          <w:tcPr>
            <w:tcW w:w="39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Interest-bearing deposits in other banks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215"/>
        </w:trPr>
        <w:tc>
          <w:tcPr>
            <w:tcW w:w="39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Nonmarketable equity securities</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interest-earning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3,337</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Arial" w:cs="Arial" w:eastAsia="Arial" w:hAnsi="Arial"/>
                <w:sz w:val="16"/>
                <w:szCs w:val="16"/>
                <w:color w:val="auto"/>
              </w:rPr>
              <w:t>Interest-bearing liabilities: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9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Interest-bearing transaction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3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3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5"/>
        </w:trPr>
        <w:tc>
          <w:tcPr>
            <w:tcW w:w="39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Time deposits</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interest-bearing deposits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15"/>
        </w:trPr>
        <w:tc>
          <w:tcPr>
            <w:tcW w:w="3980" w:type="dxa"/>
            <w:vAlign w:val="bottom"/>
          </w:tcPr>
          <w:p>
            <w:pPr>
              <w:ind w:left="260"/>
              <w:spacing w:after="0"/>
              <w:rPr>
                <w:sz w:val="20"/>
                <w:szCs w:val="20"/>
                <w:color w:val="auto"/>
              </w:rPr>
            </w:pPr>
            <w:r>
              <w:rPr>
                <w:rFonts w:ascii="Arial" w:cs="Arial" w:eastAsia="Arial" w:hAnsi="Arial"/>
                <w:sz w:val="16"/>
                <w:szCs w:val="16"/>
                <w:color w:val="auto"/>
              </w:rPr>
              <w:t>Other borrowings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interest-bearing liabilities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09"/>
        </w:trPr>
        <w:tc>
          <w:tcPr>
            <w:tcW w:w="3980" w:type="dxa"/>
            <w:vAlign w:val="bottom"/>
          </w:tcPr>
          <w:p>
            <w:pPr>
              <w:ind w:left="20"/>
              <w:spacing w:after="0"/>
              <w:rPr>
                <w:sz w:val="20"/>
                <w:szCs w:val="20"/>
                <w:color w:val="auto"/>
              </w:rPr>
            </w:pPr>
            <w:r>
              <w:rPr>
                <w:rFonts w:ascii="Arial" w:cs="Arial" w:eastAsia="Arial" w:hAnsi="Arial"/>
                <w:sz w:val="16"/>
                <w:szCs w:val="16"/>
                <w:color w:val="auto"/>
              </w:rPr>
              <w:t>Increase (decrease) in net interest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3,794</w:t>
            </w: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80" w:right="20" w:hanging="172"/>
        <w:spacing w:after="0" w:line="230" w:lineRule="auto"/>
        <w:tabs>
          <w:tab w:leader="none" w:pos="172" w:val="left"/>
        </w:tabs>
        <w:numPr>
          <w:ilvl w:val="0"/>
          <w:numId w:val="21"/>
        </w:numPr>
        <w:rPr>
          <w:rFonts w:ascii="Arial" w:cs="Arial" w:eastAsia="Arial" w:hAnsi="Arial"/>
          <w:sz w:val="16"/>
          <w:szCs w:val="16"/>
          <w:color w:val="auto"/>
          <w:vertAlign w:val="superscript"/>
        </w:rPr>
      </w:pPr>
      <w:r>
        <w:rPr>
          <w:rFonts w:ascii="Arial" w:cs="Arial" w:eastAsia="Arial" w:hAnsi="Arial"/>
          <w:sz w:val="13"/>
          <w:szCs w:val="13"/>
          <w:color w:val="auto"/>
        </w:rPr>
        <w:t>The change in interest attributable to rate has been determined by applying the change in rate between periods to average balances outstanding in the earlier period. The change in interest due to volume has been determined by applying the rate from the earlier period to the change in average balances outstanding between periods. Changes attributable to both rate and volume that cannot be segregated have been allocated to rate.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 for Credit Losses</w:t>
      </w:r>
    </w:p>
    <w:p>
      <w:pPr>
        <w:spacing w:after="0" w:line="125"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provision for credit losses is the amount necessary to maintain the ACL and the reserve for unfunded commitments at a level considered appropriate by management. Factors impacting the provision include loan portfolio growth, changes in the quality and composition of the loan portfolio, the level of nonperforming loans, delinquency and charge-off trends, the level of unfunded commitments, and current economic conditions.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for the periods indicated, the provision for credit losses: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8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For the Three Months Ended</w:t>
            </w: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4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20" w:type="dxa"/>
            <w:vAlign w:val="bottom"/>
          </w:tcPr>
          <w:p>
            <w:pPr>
              <w:jc w:val="center"/>
              <w:ind w:left="319"/>
              <w:spacing w:after="0" w:line="155" w:lineRule="exact"/>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jc w:val="center"/>
              <w:ind w:right="320"/>
              <w:spacing w:after="0" w:line="155"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70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Increase (Decrease)</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480" w:type="dxa"/>
            <w:vAlign w:val="bottom"/>
            <w:tcBorders>
              <w:bottom w:val="single" w:sz="8" w:color="CCEEFF"/>
            </w:tcBorders>
            <w:vMerge w:val="continue"/>
          </w:tcPr>
          <w:p>
            <w:pPr>
              <w:spacing w:after="0"/>
              <w:rPr>
                <w:sz w:val="18"/>
                <w:szCs w:val="18"/>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2026</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credit losses</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provision for credit losses for the first quarter of 2026 was $750,000 for loans, which was consistent with the prior quarter. The provision for credit losses in the first quarter of 2026 was due to continued loan growth, lingering impacts related to inflation and tariffs, geopolitical uncertainty, and greater uncertainty with future labor market trends. The provision in the fourth quarter of 2025 was primarily driven by loan growth, lingering impacts related to inflation and tariffs, and greater uncertainty with future unemployment. We will continue to evaluate future provision needs in relation to current economic situations, loan growth, trends in asset quality, forecasted information, and other conditions influencing loss expectations.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for the periods indicated, the provision for credit losses: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5"/>
          </w:tcPr>
          <w:p>
            <w:pPr>
              <w:jc w:val="right"/>
              <w:ind w:right="799"/>
              <w:spacing w:after="0"/>
              <w:rPr>
                <w:sz w:val="20"/>
                <w:szCs w:val="20"/>
                <w:color w:val="auto"/>
              </w:rPr>
            </w:pPr>
            <w:r>
              <w:rPr>
                <w:rFonts w:ascii="Arial" w:cs="Arial" w:eastAsia="Arial" w:hAnsi="Arial"/>
                <w:sz w:val="16"/>
                <w:szCs w:val="16"/>
                <w:b w:val="1"/>
                <w:bCs w:val="1"/>
                <w:color w:val="auto"/>
              </w:rPr>
              <w:t>For the Three Months Ended</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5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20" w:type="dxa"/>
            <w:vAlign w:val="bottom"/>
          </w:tcPr>
          <w:p>
            <w:pPr>
              <w:jc w:val="center"/>
              <w:ind w:left="319"/>
              <w:spacing w:after="0" w:line="155" w:lineRule="exact"/>
              <w:rPr>
                <w:sz w:val="20"/>
                <w:szCs w:val="20"/>
                <w:color w:val="auto"/>
              </w:rPr>
            </w:pPr>
            <w:r>
              <w:rPr>
                <w:rFonts w:ascii="Arial" w:cs="Arial" w:eastAsia="Arial" w:hAnsi="Arial"/>
                <w:sz w:val="16"/>
                <w:szCs w:val="16"/>
                <w:b w:val="1"/>
                <w:bCs w:val="1"/>
                <w:color w:val="auto"/>
              </w:rPr>
              <w:t>March 31,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ind w:left="299"/>
              <w:spacing w:after="0" w:line="155" w:lineRule="exact"/>
              <w:rPr>
                <w:sz w:val="20"/>
                <w:szCs w:val="20"/>
                <w:color w:val="auto"/>
              </w:rPr>
            </w:pPr>
            <w:r>
              <w:rPr>
                <w:rFonts w:ascii="Arial" w:cs="Arial" w:eastAsia="Arial" w:hAnsi="Arial"/>
                <w:sz w:val="16"/>
                <w:szCs w:val="16"/>
                <w:b w:val="1"/>
                <w:bCs w:val="1"/>
                <w:color w:val="auto"/>
              </w:rPr>
              <w:t>March 31,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gridSpan w:val="2"/>
            <w:vMerge w:val="restart"/>
          </w:tcPr>
          <w:p>
            <w:pPr>
              <w:jc w:val="right"/>
              <w:ind w:right="299"/>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CCEEFF"/>
            </w:tcBorders>
            <w:vMerge w:val="continue"/>
          </w:tcPr>
          <w:p>
            <w:pPr>
              <w:spacing w:after="0"/>
              <w:rPr>
                <w:sz w:val="18"/>
                <w:szCs w:val="18"/>
                <w:color w:val="auto"/>
              </w:rPr>
            </w:pP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2026</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credit losses</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300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provision for credit losses for the first quarter of 2026 was $750,000 for loans, which was $300,000 higher than the provision for credit losses of</w:t>
      </w:r>
    </w:p>
    <w:p>
      <w:pPr>
        <w:spacing w:after="0" w:line="31" w:lineRule="exact"/>
        <w:rPr>
          <w:sz w:val="20"/>
          <w:szCs w:val="20"/>
          <w:color w:val="auto"/>
        </w:rPr>
      </w:pPr>
    </w:p>
    <w:p>
      <w:pPr>
        <w:ind w:right="180"/>
        <w:spacing w:after="0" w:line="267" w:lineRule="auto"/>
        <w:rPr>
          <w:sz w:val="20"/>
          <w:szCs w:val="20"/>
          <w:color w:val="auto"/>
        </w:rPr>
      </w:pPr>
      <w:r>
        <w:rPr>
          <w:rFonts w:ascii="Arial" w:cs="Arial" w:eastAsia="Arial" w:hAnsi="Arial"/>
          <w:sz w:val="16"/>
          <w:szCs w:val="16"/>
          <w:color w:val="auto"/>
        </w:rPr>
        <w:t>$450,000 for the first quarter of 2025. The increase in the first quarter of 2026 was due to continued loan growth, lingering impacts related to inflation and tariffs, geopolitical uncertainty, and greater uncertainty with future labor market trends. The provision in the first quarter of 2025 was related to loan growth, combined with uncertainty regarding tariffs and trade.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Noninterest Income</w:t>
      </w:r>
    </w:p>
    <w:p>
      <w:pPr>
        <w:spacing w:after="0" w:line="138"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Our primary sources of noninterest income are fees related to the sale of mortgage loans, service charges on deposit accounts, debit card fees, brokerage income from advisory services, and other loan and deposit fees.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First Quarter of 2026 vs. Fourth Quarter of 2025</w:t>
      </w:r>
    </w:p>
    <w:p>
      <w:pPr>
        <w:spacing w:after="0" w:line="13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Noninterest income decreased $416,000 to $4.5 million for the first quarter of 2026, compared to $4.9 million for the fourth quarter of 2025. The decrease in noninterest income was mainly due to lower brokerage income and other income, partially offset by higher SBIC income.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for the periods indicated, the major categories of noninterest income: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5"/>
          </w:tcPr>
          <w:p>
            <w:pPr>
              <w:jc w:val="right"/>
              <w:ind w:right="399"/>
              <w:spacing w:after="0"/>
              <w:rPr>
                <w:sz w:val="20"/>
                <w:szCs w:val="20"/>
                <w:color w:val="auto"/>
              </w:rPr>
            </w:pPr>
            <w:r>
              <w:rPr>
                <w:rFonts w:ascii="Arial" w:cs="Arial" w:eastAsia="Arial" w:hAnsi="Arial"/>
                <w:sz w:val="16"/>
                <w:szCs w:val="16"/>
                <w:b w:val="1"/>
                <w:bCs w:val="1"/>
                <w:color w:val="auto"/>
              </w:rPr>
              <w:t>For the Three Months Ended</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4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60" w:type="dxa"/>
            <w:vAlign w:val="bottom"/>
          </w:tcPr>
          <w:p>
            <w:pPr>
              <w:spacing w:after="0"/>
              <w:rPr>
                <w:sz w:val="13"/>
                <w:szCs w:val="13"/>
                <w:color w:val="auto"/>
              </w:rPr>
            </w:pPr>
          </w:p>
        </w:tc>
        <w:tc>
          <w:tcPr>
            <w:tcW w:w="1440" w:type="dxa"/>
            <w:vAlign w:val="bottom"/>
            <w:gridSpan w:val="2"/>
          </w:tcPr>
          <w:p>
            <w:pPr>
              <w:ind w:left="160"/>
              <w:spacing w:after="0" w:line="155" w:lineRule="exact"/>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3"/>
                <w:szCs w:val="13"/>
                <w:color w:val="auto"/>
              </w:rPr>
            </w:pPr>
          </w:p>
        </w:tc>
        <w:tc>
          <w:tcPr>
            <w:tcW w:w="1520" w:type="dxa"/>
            <w:vAlign w:val="bottom"/>
            <w:gridSpan w:val="2"/>
          </w:tcPr>
          <w:p>
            <w:pPr>
              <w:ind w:left="80"/>
              <w:spacing w:after="0" w:line="155" w:lineRule="exact"/>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3"/>
                <w:szCs w:val="13"/>
                <w:color w:val="auto"/>
              </w:rPr>
            </w:pPr>
          </w:p>
        </w:tc>
        <w:tc>
          <w:tcPr>
            <w:tcW w:w="2100" w:type="dxa"/>
            <w:vAlign w:val="bottom"/>
            <w:gridSpan w:val="2"/>
            <w:vMerge w:val="restart"/>
          </w:tcPr>
          <w:p>
            <w:pPr>
              <w:jc w:val="right"/>
              <w:ind w:right="339"/>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216"/>
        </w:trPr>
        <w:tc>
          <w:tcPr>
            <w:tcW w:w="546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Noninterest income:</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460" w:type="dxa"/>
            <w:vAlign w:val="bottom"/>
          </w:tcPr>
          <w:p>
            <w:pPr>
              <w:ind w:left="140"/>
              <w:spacing w:after="0"/>
              <w:rPr>
                <w:sz w:val="20"/>
                <w:szCs w:val="20"/>
                <w:color w:val="auto"/>
              </w:rPr>
            </w:pPr>
            <w:r>
              <w:rPr>
                <w:rFonts w:ascii="Arial" w:cs="Arial" w:eastAsia="Arial" w:hAnsi="Arial"/>
                <w:sz w:val="16"/>
                <w:szCs w:val="16"/>
                <w:color w:val="auto"/>
              </w:rPr>
              <w:t>Service charges on deposit accounts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1,395</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1,430</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w:t>
            </w:r>
          </w:p>
        </w:tc>
        <w:tc>
          <w:tcPr>
            <w:tcW w:w="13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Debit card income, net</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5"/>
        </w:trPr>
        <w:tc>
          <w:tcPr>
            <w:tcW w:w="5460" w:type="dxa"/>
            <w:vAlign w:val="bottom"/>
          </w:tcPr>
          <w:p>
            <w:pPr>
              <w:ind w:left="140"/>
              <w:spacing w:after="0"/>
              <w:rPr>
                <w:sz w:val="20"/>
                <w:szCs w:val="20"/>
                <w:color w:val="auto"/>
              </w:rPr>
            </w:pPr>
            <w:r>
              <w:rPr>
                <w:rFonts w:ascii="Arial" w:cs="Arial" w:eastAsia="Arial" w:hAnsi="Arial"/>
                <w:sz w:val="16"/>
                <w:szCs w:val="16"/>
                <w:color w:val="auto"/>
              </w:rPr>
              <w:t>Mortgage loan income</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w:t>
            </w:r>
          </w:p>
        </w:tc>
        <w:tc>
          <w:tcPr>
            <w:tcW w:w="132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Brokerage income</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15"/>
        </w:trPr>
        <w:tc>
          <w:tcPr>
            <w:tcW w:w="5460" w:type="dxa"/>
            <w:vAlign w:val="bottom"/>
          </w:tcPr>
          <w:p>
            <w:pPr>
              <w:ind w:left="140"/>
              <w:spacing w:after="0"/>
              <w:rPr>
                <w:sz w:val="20"/>
                <w:szCs w:val="20"/>
                <w:color w:val="auto"/>
              </w:rPr>
            </w:pPr>
            <w:r>
              <w:rPr>
                <w:rFonts w:ascii="Arial" w:cs="Arial" w:eastAsia="Arial" w:hAnsi="Arial"/>
                <w:sz w:val="16"/>
                <w:szCs w:val="16"/>
                <w:color w:val="auto"/>
              </w:rPr>
              <w:t>Loan and deposit income</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w:t>
            </w:r>
          </w:p>
        </w:tc>
        <w:tc>
          <w:tcPr>
            <w:tcW w:w="132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Bank-owned life insurance income</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5"/>
        </w:trPr>
        <w:tc>
          <w:tcPr>
            <w:tcW w:w="5460" w:type="dxa"/>
            <w:vAlign w:val="bottom"/>
          </w:tcPr>
          <w:p>
            <w:pPr>
              <w:ind w:left="140"/>
              <w:spacing w:after="0"/>
              <w:rPr>
                <w:sz w:val="20"/>
                <w:szCs w:val="20"/>
                <w:color w:val="auto"/>
              </w:rPr>
            </w:pPr>
            <w:r>
              <w:rPr>
                <w:rFonts w:ascii="Arial" w:cs="Arial" w:eastAsia="Arial" w:hAnsi="Arial"/>
                <w:sz w:val="16"/>
                <w:szCs w:val="16"/>
                <w:color w:val="auto"/>
              </w:rPr>
              <w:t>Gain (Loss) on equity securities</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w:t>
            </w:r>
          </w:p>
        </w:tc>
        <w:tc>
          <w:tcPr>
            <w:tcW w:w="1320" w:type="dxa"/>
            <w:vAlign w:val="bottom"/>
          </w:tcPr>
          <w:p>
            <w:pPr>
              <w:jc w:val="right"/>
              <w:spacing w:after="0"/>
              <w:rPr>
                <w:sz w:val="20"/>
                <w:szCs w:val="20"/>
                <w:color w:val="auto"/>
              </w:rPr>
            </w:pPr>
            <w:r>
              <w:rPr>
                <w:rFonts w:ascii="Arial" w:cs="Arial" w:eastAsia="Arial" w:hAnsi="Arial"/>
                <w:sz w:val="16"/>
                <w:szCs w:val="16"/>
                <w:color w:val="auto"/>
              </w:rPr>
              <w:t>(246.2%)</w:t>
            </w: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SBIC income (loss)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15"/>
        </w:trPr>
        <w:tc>
          <w:tcPr>
            <w:tcW w:w="54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income (loss)</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235"/>
        </w:trPr>
        <w:tc>
          <w:tcPr>
            <w:tcW w:w="5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noninterest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Brokerage income decreased $348,000 to $939,000 for the first quarter of 2026, compared to the prior quarter. The lower income in the first quarter of 2026 was due to decreased investing activity by clients. Assets under management were $1.35 billion as of March 31, 2026, and $1.33 billion as of December 31, 2025.</w:t>
      </w:r>
    </w:p>
    <w:p>
      <w:pPr>
        <w:spacing w:after="0" w:line="90" w:lineRule="exact"/>
        <w:rPr>
          <w:sz w:val="20"/>
          <w:szCs w:val="20"/>
          <w:color w:val="auto"/>
        </w:rPr>
      </w:pPr>
    </w:p>
    <w:p>
      <w:pPr>
        <w:jc w:val="both"/>
        <w:ind w:right="100"/>
        <w:spacing w:after="0" w:line="275" w:lineRule="auto"/>
        <w:rPr>
          <w:sz w:val="20"/>
          <w:szCs w:val="20"/>
          <w:color w:val="auto"/>
        </w:rPr>
      </w:pPr>
      <w:r>
        <w:rPr>
          <w:rFonts w:ascii="Arial" w:cs="Arial" w:eastAsia="Arial" w:hAnsi="Arial"/>
          <w:sz w:val="16"/>
          <w:szCs w:val="16"/>
          <w:color w:val="auto"/>
        </w:rPr>
        <w:t>Other income decreased $106,000 to $83,000 for the first quarter of 2026, compared to the prior quarter. We participate as a member in JAM FINTOP. The fourth quarter of 2025 included $127,000 of nonrecurring JAM FINTOP partnership income, following the sale of an investment and subsequent distribution. Similar income was not recognized in the first quarter of 2026.</w:t>
      </w:r>
    </w:p>
    <w:p>
      <w:pPr>
        <w:spacing w:after="0" w:line="83"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SBIC partnerships reported a loss of $105,000 in the first quarter of 2026, compared to a loss of $197,000 in the previous quarter. These losses were mainly due to fund value adjustments as an SBIC fund continues its wind-down phase. We expect SBIC income to fluctuate in future quarters.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Three Months Ended March 31, 2026 vs. Three Months Ended March 31, 2025</w:t>
      </w:r>
    </w:p>
    <w:p>
      <w:pPr>
        <w:spacing w:after="0" w:line="125"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Noninterest income decreased $739,000 to $4.5 million for the three months ended March 31, 2026, compared to $5.3 million for the three months ended March 31, 2025. The decrease in noninterest income was mainly due to lower brokerage income and SBIC income.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for the periods indicated, the major categories of noninterest income: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6"/>
                <w:szCs w:val="16"/>
                <w:b w:val="1"/>
                <w:bCs w:val="1"/>
                <w:color w:val="auto"/>
              </w:rPr>
              <w:t>For the Three Months Ended</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4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60" w:type="dxa"/>
            <w:vAlign w:val="bottom"/>
          </w:tcPr>
          <w:p>
            <w:pPr>
              <w:spacing w:after="0"/>
              <w:rPr>
                <w:sz w:val="13"/>
                <w:szCs w:val="13"/>
                <w:color w:val="auto"/>
              </w:rPr>
            </w:pPr>
          </w:p>
        </w:tc>
        <w:tc>
          <w:tcPr>
            <w:tcW w:w="1440" w:type="dxa"/>
            <w:vAlign w:val="bottom"/>
            <w:gridSpan w:val="2"/>
          </w:tcPr>
          <w:p>
            <w:pPr>
              <w:ind w:left="160"/>
              <w:spacing w:after="0" w:line="155" w:lineRule="exact"/>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3"/>
                <w:szCs w:val="13"/>
                <w:color w:val="auto"/>
              </w:rPr>
            </w:pPr>
          </w:p>
        </w:tc>
        <w:tc>
          <w:tcPr>
            <w:tcW w:w="1440" w:type="dxa"/>
            <w:vAlign w:val="bottom"/>
            <w:gridSpan w:val="2"/>
          </w:tcPr>
          <w:p>
            <w:pPr>
              <w:ind w:left="160"/>
              <w:spacing w:after="0" w:line="155" w:lineRule="exact"/>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3"/>
                <w:szCs w:val="13"/>
                <w:color w:val="auto"/>
              </w:rPr>
            </w:pPr>
          </w:p>
        </w:tc>
        <w:tc>
          <w:tcPr>
            <w:tcW w:w="2100" w:type="dxa"/>
            <w:vAlign w:val="bottom"/>
            <w:gridSpan w:val="2"/>
            <w:vMerge w:val="restart"/>
          </w:tcPr>
          <w:p>
            <w:pPr>
              <w:jc w:val="right"/>
              <w:ind w:right="339"/>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216"/>
        </w:trPr>
        <w:tc>
          <w:tcPr>
            <w:tcW w:w="548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Noninterest income:</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480" w:type="dxa"/>
            <w:vAlign w:val="bottom"/>
          </w:tcPr>
          <w:p>
            <w:pPr>
              <w:ind w:left="140"/>
              <w:spacing w:after="0"/>
              <w:rPr>
                <w:sz w:val="20"/>
                <w:szCs w:val="20"/>
                <w:color w:val="auto"/>
              </w:rPr>
            </w:pPr>
            <w:r>
              <w:rPr>
                <w:rFonts w:ascii="Arial" w:cs="Arial" w:eastAsia="Arial" w:hAnsi="Arial"/>
                <w:sz w:val="16"/>
                <w:szCs w:val="16"/>
                <w:color w:val="auto"/>
              </w:rPr>
              <w:t>Service charges on deposit accounts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1,395</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1,383</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c>
          <w:tcPr>
            <w:tcW w:w="132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Debit card income, net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5"/>
        </w:trPr>
        <w:tc>
          <w:tcPr>
            <w:tcW w:w="5480" w:type="dxa"/>
            <w:vAlign w:val="bottom"/>
          </w:tcPr>
          <w:p>
            <w:pPr>
              <w:ind w:left="140"/>
              <w:spacing w:after="0"/>
              <w:rPr>
                <w:sz w:val="20"/>
                <w:szCs w:val="20"/>
                <w:color w:val="auto"/>
              </w:rPr>
            </w:pPr>
            <w:r>
              <w:rPr>
                <w:rFonts w:ascii="Arial" w:cs="Arial" w:eastAsia="Arial" w:hAnsi="Arial"/>
                <w:sz w:val="16"/>
                <w:szCs w:val="16"/>
                <w:color w:val="auto"/>
              </w:rPr>
              <w:t>Mortgage loan income</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w:t>
            </w:r>
          </w:p>
        </w:tc>
        <w:tc>
          <w:tcPr>
            <w:tcW w:w="1320" w:type="dxa"/>
            <w:vAlign w:val="bottom"/>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Brokerage income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15"/>
        </w:trPr>
        <w:tc>
          <w:tcPr>
            <w:tcW w:w="5480" w:type="dxa"/>
            <w:vAlign w:val="bottom"/>
          </w:tcPr>
          <w:p>
            <w:pPr>
              <w:ind w:left="140"/>
              <w:spacing w:after="0"/>
              <w:rPr>
                <w:sz w:val="20"/>
                <w:szCs w:val="20"/>
                <w:color w:val="auto"/>
              </w:rPr>
            </w:pPr>
            <w:r>
              <w:rPr>
                <w:rFonts w:ascii="Arial" w:cs="Arial" w:eastAsia="Arial" w:hAnsi="Arial"/>
                <w:sz w:val="16"/>
                <w:szCs w:val="16"/>
                <w:color w:val="auto"/>
              </w:rPr>
              <w:t>Loan and deposit income</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w:t>
            </w:r>
          </w:p>
        </w:tc>
        <w:tc>
          <w:tcPr>
            <w:tcW w:w="132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Bank-owned life insurance income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5"/>
        </w:trPr>
        <w:tc>
          <w:tcPr>
            <w:tcW w:w="5480" w:type="dxa"/>
            <w:vAlign w:val="bottom"/>
          </w:tcPr>
          <w:p>
            <w:pPr>
              <w:ind w:left="140"/>
              <w:spacing w:after="0"/>
              <w:rPr>
                <w:sz w:val="20"/>
                <w:szCs w:val="20"/>
                <w:color w:val="auto"/>
              </w:rPr>
            </w:pPr>
            <w:r>
              <w:rPr>
                <w:rFonts w:ascii="Arial" w:cs="Arial" w:eastAsia="Arial" w:hAnsi="Arial"/>
                <w:sz w:val="16"/>
                <w:szCs w:val="16"/>
                <w:color w:val="auto"/>
              </w:rPr>
              <w:t>Gain (Loss) on equity securities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w:t>
            </w:r>
          </w:p>
        </w:tc>
        <w:tc>
          <w:tcPr>
            <w:tcW w:w="1320" w:type="dxa"/>
            <w:vAlign w:val="bottom"/>
          </w:tcPr>
          <w:p>
            <w:pPr>
              <w:jc w:val="right"/>
              <w:spacing w:after="0"/>
              <w:rPr>
                <w:sz w:val="20"/>
                <w:szCs w:val="20"/>
                <w:color w:val="auto"/>
              </w:rPr>
            </w:pPr>
            <w:r>
              <w:rPr>
                <w:rFonts w:ascii="Arial" w:cs="Arial" w:eastAsia="Arial" w:hAnsi="Arial"/>
                <w:sz w:val="16"/>
                <w:szCs w:val="16"/>
                <w:color w:val="auto"/>
              </w:rPr>
              <w:t>(143.2%)</w:t>
            </w: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SBIC income (loss)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w:t>
            </w:r>
          </w:p>
        </w:tc>
        <w:tc>
          <w:tcPr>
            <w:tcW w:w="0" w:type="dxa"/>
            <w:vAlign w:val="bottom"/>
          </w:tcPr>
          <w:p>
            <w:pPr>
              <w:spacing w:after="0"/>
              <w:rPr>
                <w:sz w:val="1"/>
                <w:szCs w:val="1"/>
                <w:color w:val="auto"/>
              </w:rPr>
            </w:pPr>
          </w:p>
        </w:tc>
      </w:tr>
      <w:tr>
        <w:trPr>
          <w:trHeight w:val="215"/>
        </w:trPr>
        <w:tc>
          <w:tcPr>
            <w:tcW w:w="54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income (loss)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235"/>
        </w:trPr>
        <w:tc>
          <w:tcPr>
            <w:tcW w:w="5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noninterest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Brokerage income decreased $386,000 to $939,000 for the three months ended March 31, 2026, compared to the same period prior year, mainly due to decreased investing activity by clients. Also, the first quarter of 2025 included $107,000 in incentive income related to a prior year investment group broker-dealer partner conversion. Assets under management were $1.35 billion and $1.14 billion as of March 31, 2026 and 2025, respectively.</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SBIC partnerships reported a loss of $105,000 for the three months ended March 31, 2026, compared to $280,000 of income for the same period prior year.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This variance was mainly due to fund value adjustments as an SBIC fund entered its wind-down phase in mid-2025.</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25" w:lineRule="exact"/>
        <w:rPr>
          <w:sz w:val="20"/>
          <w:szCs w:val="20"/>
          <w:color w:val="auto"/>
        </w:rPr>
      </w:pPr>
    </w:p>
    <w:p>
      <w:pPr>
        <w:ind w:right="880"/>
        <w:spacing w:after="0" w:line="304" w:lineRule="auto"/>
        <w:rPr>
          <w:sz w:val="20"/>
          <w:szCs w:val="20"/>
          <w:color w:val="auto"/>
        </w:rPr>
      </w:pPr>
      <w:r>
        <w:rPr>
          <w:rFonts w:ascii="Arial" w:cs="Arial" w:eastAsia="Arial" w:hAnsi="Arial"/>
          <w:sz w:val="16"/>
          <w:szCs w:val="16"/>
          <w:color w:val="auto"/>
        </w:rPr>
        <w:t>Operating expenses are composed of all employee expenses and costs associated with operating our facilities, obtaining and retaining customer relationships, and providing services.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First Quarter of 2026 vs. Fourth Quarter of 2025</w:t>
      </w:r>
    </w:p>
    <w:p>
      <w:pPr>
        <w:spacing w:after="0" w:line="138" w:lineRule="exact"/>
        <w:rPr>
          <w:sz w:val="20"/>
          <w:szCs w:val="20"/>
          <w:color w:val="auto"/>
        </w:rPr>
      </w:pPr>
    </w:p>
    <w:p>
      <w:pPr>
        <w:ind w:right="500"/>
        <w:spacing w:after="0" w:line="304" w:lineRule="auto"/>
        <w:rPr>
          <w:sz w:val="20"/>
          <w:szCs w:val="20"/>
          <w:color w:val="auto"/>
        </w:rPr>
      </w:pPr>
      <w:r>
        <w:rPr>
          <w:rFonts w:ascii="Arial" w:cs="Arial" w:eastAsia="Arial" w:hAnsi="Arial"/>
          <w:sz w:val="16"/>
          <w:szCs w:val="16"/>
          <w:color w:val="auto"/>
        </w:rPr>
        <w:t>Operating expenses decreased $1.0 million to $17.3 million for the first quarter of 2026, compared to $18.3 million for the fourth quarter of 2025. The decrease in operating expenses was mainly due to lower personnel expenses, data processing expense, loan and deposit expenses, and other taxes.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for the periods indicated, the major categories of operating expenses: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5"/>
          </w:tcPr>
          <w:p>
            <w:pPr>
              <w:jc w:val="right"/>
              <w:ind w:right="399"/>
              <w:spacing w:after="0"/>
              <w:rPr>
                <w:sz w:val="20"/>
                <w:szCs w:val="20"/>
                <w:color w:val="auto"/>
              </w:rPr>
            </w:pPr>
            <w:r>
              <w:rPr>
                <w:rFonts w:ascii="Arial" w:cs="Arial" w:eastAsia="Arial" w:hAnsi="Arial"/>
                <w:sz w:val="16"/>
                <w:szCs w:val="16"/>
                <w:b w:val="1"/>
                <w:bCs w:val="1"/>
                <w:color w:val="auto"/>
              </w:rPr>
              <w:t>For the Three Months Ended</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4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60" w:type="dxa"/>
            <w:vAlign w:val="bottom"/>
          </w:tcPr>
          <w:p>
            <w:pPr>
              <w:spacing w:after="0"/>
              <w:rPr>
                <w:sz w:val="13"/>
                <w:szCs w:val="13"/>
                <w:color w:val="auto"/>
              </w:rPr>
            </w:pPr>
          </w:p>
        </w:tc>
        <w:tc>
          <w:tcPr>
            <w:tcW w:w="1440" w:type="dxa"/>
            <w:vAlign w:val="bottom"/>
            <w:gridSpan w:val="2"/>
          </w:tcPr>
          <w:p>
            <w:pPr>
              <w:ind w:left="160"/>
              <w:spacing w:after="0" w:line="155" w:lineRule="exact"/>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3"/>
                <w:szCs w:val="13"/>
                <w:color w:val="auto"/>
              </w:rPr>
            </w:pPr>
          </w:p>
        </w:tc>
        <w:tc>
          <w:tcPr>
            <w:tcW w:w="1520" w:type="dxa"/>
            <w:vAlign w:val="bottom"/>
            <w:gridSpan w:val="2"/>
          </w:tcPr>
          <w:p>
            <w:pPr>
              <w:ind w:left="80"/>
              <w:spacing w:after="0" w:line="155" w:lineRule="exact"/>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3"/>
                <w:szCs w:val="13"/>
                <w:color w:val="auto"/>
              </w:rPr>
            </w:pPr>
          </w:p>
        </w:tc>
        <w:tc>
          <w:tcPr>
            <w:tcW w:w="2100" w:type="dxa"/>
            <w:vAlign w:val="bottom"/>
            <w:gridSpan w:val="2"/>
            <w:vMerge w:val="restart"/>
          </w:tcPr>
          <w:p>
            <w:pPr>
              <w:jc w:val="right"/>
              <w:ind w:right="339"/>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216"/>
        </w:trPr>
        <w:tc>
          <w:tcPr>
            <w:tcW w:w="546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460" w:type="dxa"/>
            <w:vAlign w:val="bottom"/>
          </w:tcPr>
          <w:p>
            <w:pPr>
              <w:ind w:left="260"/>
              <w:spacing w:after="0"/>
              <w:rPr>
                <w:sz w:val="20"/>
                <w:szCs w:val="20"/>
                <w:color w:val="auto"/>
              </w:rPr>
            </w:pPr>
            <w:r>
              <w:rPr>
                <w:rFonts w:ascii="Arial" w:cs="Arial" w:eastAsia="Arial" w:hAnsi="Arial"/>
                <w:sz w:val="16"/>
                <w:szCs w:val="16"/>
                <w:color w:val="auto"/>
              </w:rPr>
              <w:t>Personnel expenses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10,517</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10,954</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(437)</w:t>
            </w:r>
          </w:p>
        </w:tc>
        <w:tc>
          <w:tcPr>
            <w:tcW w:w="132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Non-staff expenses: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60" w:type="dxa"/>
            <w:vAlign w:val="bottom"/>
          </w:tcPr>
          <w:p>
            <w:pPr>
              <w:ind w:left="360"/>
              <w:spacing w:after="0"/>
              <w:rPr>
                <w:sz w:val="20"/>
                <w:szCs w:val="20"/>
                <w:color w:val="auto"/>
              </w:rPr>
            </w:pPr>
            <w:r>
              <w:rPr>
                <w:rFonts w:ascii="Arial" w:cs="Arial" w:eastAsia="Arial" w:hAnsi="Arial"/>
                <w:sz w:val="16"/>
                <w:szCs w:val="16"/>
                <w:color w:val="auto"/>
              </w:rPr>
              <w:t>Occupancy and equipment expenses</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135</w:t>
            </w:r>
          </w:p>
        </w:tc>
        <w:tc>
          <w:tcPr>
            <w:tcW w:w="132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Technology expenses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5"/>
        </w:trPr>
        <w:tc>
          <w:tcPr>
            <w:tcW w:w="5460" w:type="dxa"/>
            <w:vAlign w:val="bottom"/>
          </w:tcPr>
          <w:p>
            <w:pPr>
              <w:ind w:left="360"/>
              <w:spacing w:after="0"/>
              <w:rPr>
                <w:sz w:val="20"/>
                <w:szCs w:val="20"/>
                <w:color w:val="auto"/>
              </w:rPr>
            </w:pPr>
            <w:r>
              <w:rPr>
                <w:rFonts w:ascii="Arial" w:cs="Arial" w:eastAsia="Arial" w:hAnsi="Arial"/>
                <w:sz w:val="16"/>
                <w:szCs w:val="16"/>
                <w:color w:val="auto"/>
              </w:rPr>
              <w:t>Advertising</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13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business development expenses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5"/>
        </w:trPr>
        <w:tc>
          <w:tcPr>
            <w:tcW w:w="5460" w:type="dxa"/>
            <w:vAlign w:val="bottom"/>
          </w:tcPr>
          <w:p>
            <w:pPr>
              <w:ind w:left="360"/>
              <w:spacing w:after="0"/>
              <w:rPr>
                <w:sz w:val="20"/>
                <w:szCs w:val="20"/>
                <w:color w:val="auto"/>
              </w:rPr>
            </w:pPr>
            <w:r>
              <w:rPr>
                <w:rFonts w:ascii="Arial" w:cs="Arial" w:eastAsia="Arial" w:hAnsi="Arial"/>
                <w:sz w:val="16"/>
                <w:szCs w:val="16"/>
                <w:color w:val="auto"/>
              </w:rPr>
              <w:t>Data processing expense</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(336)</w:t>
            </w:r>
          </w:p>
        </w:tc>
        <w:tc>
          <w:tcPr>
            <w:tcW w:w="1320" w:type="dxa"/>
            <w:vAlign w:val="bottom"/>
          </w:tcPr>
          <w:p>
            <w:pPr>
              <w:jc w:val="right"/>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taxes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5"/>
        </w:trPr>
        <w:tc>
          <w:tcPr>
            <w:tcW w:w="5460" w:type="dxa"/>
            <w:vAlign w:val="bottom"/>
          </w:tcPr>
          <w:p>
            <w:pPr>
              <w:ind w:left="360"/>
              <w:spacing w:after="0"/>
              <w:rPr>
                <w:sz w:val="20"/>
                <w:szCs w:val="20"/>
                <w:color w:val="auto"/>
              </w:rPr>
            </w:pPr>
            <w:r>
              <w:rPr>
                <w:rFonts w:ascii="Arial" w:cs="Arial" w:eastAsia="Arial" w:hAnsi="Arial"/>
                <w:sz w:val="16"/>
                <w:szCs w:val="16"/>
                <w:color w:val="auto"/>
              </w:rPr>
              <w:t>Loan and deposit expenses</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(212)</w:t>
            </w:r>
          </w:p>
        </w:tc>
        <w:tc>
          <w:tcPr>
            <w:tcW w:w="1320" w:type="dxa"/>
            <w:vAlign w:val="bottom"/>
          </w:tcPr>
          <w:p>
            <w:pPr>
              <w:jc w:val="right"/>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Legal and professional expenses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5"/>
        </w:trPr>
        <w:tc>
          <w:tcPr>
            <w:tcW w:w="5460" w:type="dxa"/>
            <w:vAlign w:val="bottom"/>
          </w:tcPr>
          <w:p>
            <w:pPr>
              <w:ind w:left="360"/>
              <w:spacing w:after="0"/>
              <w:rPr>
                <w:sz w:val="20"/>
                <w:szCs w:val="20"/>
                <w:color w:val="auto"/>
              </w:rPr>
            </w:pPr>
            <w:r>
              <w:rPr>
                <w:rFonts w:ascii="Arial" w:cs="Arial" w:eastAsia="Arial" w:hAnsi="Arial"/>
                <w:sz w:val="16"/>
                <w:szCs w:val="16"/>
                <w:color w:val="auto"/>
              </w:rPr>
              <w:t>Regulatory assessment expenses</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w:t>
            </w:r>
          </w:p>
        </w:tc>
        <w:tc>
          <w:tcPr>
            <w:tcW w:w="132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9"/>
        </w:trPr>
        <w:tc>
          <w:tcPr>
            <w:tcW w:w="5460" w:type="dxa"/>
            <w:vAlign w:val="bottom"/>
          </w:tcPr>
          <w:p>
            <w:pPr>
              <w:ind w:left="56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18,251</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(1,001)</w:t>
            </w:r>
          </w:p>
        </w:tc>
        <w:tc>
          <w:tcPr>
            <w:tcW w:w="132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380"/>
        <w:spacing w:after="0" w:line="304" w:lineRule="auto"/>
        <w:rPr>
          <w:sz w:val="20"/>
          <w:szCs w:val="20"/>
          <w:color w:val="auto"/>
        </w:rPr>
      </w:pPr>
      <w:r>
        <w:rPr>
          <w:rFonts w:ascii="Arial" w:cs="Arial" w:eastAsia="Arial" w:hAnsi="Arial"/>
          <w:sz w:val="16"/>
          <w:szCs w:val="16"/>
          <w:color w:val="auto"/>
        </w:rPr>
        <w:t>Personnel expenses decreased $437,000 to $10.5 million for the first quarter of 2026, compared to the prior quarter. This decrease was primarily due to lower personnel-related accruals and lower revenue-based commissions. We had 375 total employees as of March 31, 2026 and December 31, 2025.</w:t>
      </w:r>
    </w:p>
    <w:p>
      <w:pPr>
        <w:spacing w:after="0" w:line="47"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Data processing expense decreased $336,000 to $377,000 for first quarter of 2026, compared to the prior quarter. This decrease was mainly attributable to receipt of a $389,000 periodic refund from our data processing center in the first quarter of 2026.</w:t>
      </w:r>
    </w:p>
    <w:p>
      <w:pPr>
        <w:spacing w:after="0" w:line="60"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auto"/>
        </w:rPr>
        <w:t>Loan and deposit expenses decreased $212,000 to $103,000 for the first quarter of 2026, compared to the prior quarter. This decrease was primarily attributable to receipt of a $201,000 negotiated, variable rebate from a vendor in the first quarter of 2026.</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Other taxes decreased $23,000 to $560,000 for the first quarter of 2026, compared to the prior quarter. In 2025, Louisiana</w:t>
      </w:r>
    </w:p>
    <w:p>
      <w:pPr>
        <w:spacing w:after="0" w:line="2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corporate income tax rates were lowered. In order for financial institutions to be included in this benefit, the State of Louisiana bank stock tax calculation was adjusted effective 2026, which resulted in other taxes being lower in the first quarter of 2026.</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Three Months Ended March 31, 2026 vs. Three Months Ended March 31, 2025</w:t>
      </w:r>
    </w:p>
    <w:p>
      <w:pPr>
        <w:spacing w:after="0" w:line="138"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Operating expenses increased $662,000 to $17.3 million for the three months ended March 31, 2026, compared to $16.6 million for the three months ended March 31, 2025. The increase in operating expenses was mainly due to higher personnel expenses and data processing expense, partially offset by lower other taxes.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for the periods indicated, the major categories of operating expenses: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6"/>
                <w:szCs w:val="16"/>
                <w:b w:val="1"/>
                <w:bCs w:val="1"/>
                <w:color w:val="auto"/>
              </w:rPr>
              <w:t>For the Three Months Ended</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4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60" w:type="dxa"/>
            <w:vAlign w:val="bottom"/>
          </w:tcPr>
          <w:p>
            <w:pPr>
              <w:spacing w:after="0"/>
              <w:rPr>
                <w:sz w:val="13"/>
                <w:szCs w:val="13"/>
                <w:color w:val="auto"/>
              </w:rPr>
            </w:pPr>
          </w:p>
        </w:tc>
        <w:tc>
          <w:tcPr>
            <w:tcW w:w="1440" w:type="dxa"/>
            <w:vAlign w:val="bottom"/>
            <w:gridSpan w:val="2"/>
          </w:tcPr>
          <w:p>
            <w:pPr>
              <w:ind w:left="160"/>
              <w:spacing w:after="0" w:line="155" w:lineRule="exact"/>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3"/>
                <w:szCs w:val="13"/>
                <w:color w:val="auto"/>
              </w:rPr>
            </w:pPr>
          </w:p>
        </w:tc>
        <w:tc>
          <w:tcPr>
            <w:tcW w:w="1440" w:type="dxa"/>
            <w:vAlign w:val="bottom"/>
            <w:gridSpan w:val="2"/>
          </w:tcPr>
          <w:p>
            <w:pPr>
              <w:ind w:left="160"/>
              <w:spacing w:after="0" w:line="155" w:lineRule="exact"/>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3"/>
                <w:szCs w:val="13"/>
                <w:color w:val="auto"/>
              </w:rPr>
            </w:pPr>
          </w:p>
        </w:tc>
        <w:tc>
          <w:tcPr>
            <w:tcW w:w="2100" w:type="dxa"/>
            <w:vAlign w:val="bottom"/>
            <w:gridSpan w:val="2"/>
            <w:vMerge w:val="restart"/>
          </w:tcPr>
          <w:p>
            <w:pPr>
              <w:jc w:val="right"/>
              <w:ind w:right="339"/>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216"/>
        </w:trPr>
        <w:tc>
          <w:tcPr>
            <w:tcW w:w="548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480" w:type="dxa"/>
            <w:vAlign w:val="bottom"/>
          </w:tcPr>
          <w:p>
            <w:pPr>
              <w:ind w:left="260"/>
              <w:spacing w:after="0"/>
              <w:rPr>
                <w:sz w:val="20"/>
                <w:szCs w:val="20"/>
                <w:color w:val="auto"/>
              </w:rPr>
            </w:pPr>
            <w:r>
              <w:rPr>
                <w:rFonts w:ascii="Arial" w:cs="Arial" w:eastAsia="Arial" w:hAnsi="Arial"/>
                <w:sz w:val="16"/>
                <w:szCs w:val="16"/>
                <w:color w:val="auto"/>
              </w:rPr>
              <w:t>Personnel expenses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10,517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10,023</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494</w:t>
            </w:r>
          </w:p>
        </w:tc>
        <w:tc>
          <w:tcPr>
            <w:tcW w:w="132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Non-staff expenses: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80" w:type="dxa"/>
            <w:vAlign w:val="bottom"/>
          </w:tcPr>
          <w:p>
            <w:pPr>
              <w:ind w:left="360"/>
              <w:spacing w:after="0"/>
              <w:rPr>
                <w:sz w:val="20"/>
                <w:szCs w:val="20"/>
                <w:color w:val="auto"/>
              </w:rPr>
            </w:pPr>
            <w:r>
              <w:rPr>
                <w:rFonts w:ascii="Arial" w:cs="Arial" w:eastAsia="Arial" w:hAnsi="Arial"/>
                <w:sz w:val="16"/>
                <w:szCs w:val="16"/>
                <w:color w:val="auto"/>
              </w:rPr>
              <w:t>Occupancy and equipment expenses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1,884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1,794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90</w:t>
            </w:r>
          </w:p>
        </w:tc>
        <w:tc>
          <w:tcPr>
            <w:tcW w:w="132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Technology expenses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5"/>
        </w:trPr>
        <w:tc>
          <w:tcPr>
            <w:tcW w:w="5480" w:type="dxa"/>
            <w:vAlign w:val="bottom"/>
          </w:tcPr>
          <w:p>
            <w:pPr>
              <w:ind w:left="360"/>
              <w:spacing w:after="0"/>
              <w:rPr>
                <w:sz w:val="20"/>
                <w:szCs w:val="20"/>
                <w:color w:val="auto"/>
              </w:rPr>
            </w:pPr>
            <w:r>
              <w:rPr>
                <w:rFonts w:ascii="Arial" w:cs="Arial" w:eastAsia="Arial" w:hAnsi="Arial"/>
                <w:sz w:val="16"/>
                <w:szCs w:val="16"/>
                <w:color w:val="auto"/>
              </w:rPr>
              <w:t>Advertising</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13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business development expenses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5"/>
        </w:trPr>
        <w:tc>
          <w:tcPr>
            <w:tcW w:w="5480" w:type="dxa"/>
            <w:vAlign w:val="bottom"/>
          </w:tcPr>
          <w:p>
            <w:pPr>
              <w:ind w:left="360"/>
              <w:spacing w:after="0"/>
              <w:rPr>
                <w:sz w:val="20"/>
                <w:szCs w:val="20"/>
                <w:color w:val="auto"/>
              </w:rPr>
            </w:pPr>
            <w:r>
              <w:rPr>
                <w:rFonts w:ascii="Arial" w:cs="Arial" w:eastAsia="Arial" w:hAnsi="Arial"/>
                <w:sz w:val="16"/>
                <w:szCs w:val="16"/>
                <w:color w:val="auto"/>
              </w:rPr>
              <w:t>Data processing expense</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89</w:t>
            </w:r>
          </w:p>
        </w:tc>
        <w:tc>
          <w:tcPr>
            <w:tcW w:w="1320" w:type="dxa"/>
            <w:vAlign w:val="bottom"/>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taxes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5"/>
        </w:trPr>
        <w:tc>
          <w:tcPr>
            <w:tcW w:w="5480" w:type="dxa"/>
            <w:vAlign w:val="bottom"/>
          </w:tcPr>
          <w:p>
            <w:pPr>
              <w:ind w:left="360"/>
              <w:spacing w:after="0"/>
              <w:rPr>
                <w:sz w:val="20"/>
                <w:szCs w:val="20"/>
                <w:color w:val="auto"/>
              </w:rPr>
            </w:pPr>
            <w:r>
              <w:rPr>
                <w:rFonts w:ascii="Arial" w:cs="Arial" w:eastAsia="Arial" w:hAnsi="Arial"/>
                <w:sz w:val="16"/>
                <w:szCs w:val="16"/>
                <w:color w:val="auto"/>
              </w:rPr>
              <w:t>Loan and deposit expenses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w:t>
            </w:r>
          </w:p>
        </w:tc>
        <w:tc>
          <w:tcPr>
            <w:tcW w:w="1320" w:type="dxa"/>
            <w:vAlign w:val="bottom"/>
          </w:tcPr>
          <w:p>
            <w:pPr>
              <w:jc w:val="right"/>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Legal and professional expenses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15"/>
        </w:trPr>
        <w:tc>
          <w:tcPr>
            <w:tcW w:w="5480" w:type="dxa"/>
            <w:vAlign w:val="bottom"/>
          </w:tcPr>
          <w:p>
            <w:pPr>
              <w:ind w:left="360"/>
              <w:spacing w:after="0"/>
              <w:rPr>
                <w:sz w:val="20"/>
                <w:szCs w:val="20"/>
                <w:color w:val="auto"/>
              </w:rPr>
            </w:pPr>
            <w:r>
              <w:rPr>
                <w:rFonts w:ascii="Arial" w:cs="Arial" w:eastAsia="Arial" w:hAnsi="Arial"/>
                <w:sz w:val="16"/>
                <w:szCs w:val="16"/>
                <w:color w:val="auto"/>
              </w:rPr>
              <w:t>Regulatory assessment expenses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w:t>
            </w:r>
          </w:p>
        </w:tc>
        <w:tc>
          <w:tcPr>
            <w:tcW w:w="132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9"/>
        </w:trPr>
        <w:tc>
          <w:tcPr>
            <w:tcW w:w="5480" w:type="dxa"/>
            <w:vAlign w:val="bottom"/>
          </w:tcPr>
          <w:p>
            <w:pPr>
              <w:ind w:left="56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17,250</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16,588</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w:t>
            </w:r>
          </w:p>
        </w:tc>
        <w:tc>
          <w:tcPr>
            <w:tcW w:w="132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Personnel expenses increased $494,000 to $10.5 million for the three months ended March 31, 2026, compared to the same period prior year. This increase was primarily due to annual raises effective April 2025 and higher personnel-related accruals in the first quarter of 2026. As of March 31, 2026 and 2025, we had 375 total employees.</w:t>
      </w:r>
    </w:p>
    <w:p>
      <w:pPr>
        <w:spacing w:after="0" w:line="83"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Data processing expense increased $89,000 to $377,000 for the three months ended March 31, 2026, compared to the same period prior year. The first quarter of 2026 included receipt of a $389,000 periodic refund from our data processing center compared to a $447,000 similar refund in the same period prior year. The first quarter of 2026 also included a full period of expenses related to online banking, mobile banking, and bill payment system upgrades completed in 2025.</w:t>
      </w:r>
    </w:p>
    <w:p>
      <w:pPr>
        <w:spacing w:after="0" w:line="78"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Other taxes decreased $52,000 to $560,000 for the three months ended March 31, 2026, compared to the same period prior year. In 2025, Louisiana corporate income tax rates were lowered. In order for financial institutions to be included in this benefit, the State of Louisiana bank stock tax calculation was adjusted effective 2026, which resulted in other taxes being lower in the first quarter of 2026.</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38"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amount of income tax expense is influenced by the amounts of our pre-tax income, tax-exempt income, and other nondeductible expenses. Deferred tax assets and liabilities are reflected at currently enacted income tax rates in effect for the period in which the deferred tax assets and liabilities are expected to be realized or settled. As changes in tax laws or rates are enacted, deferred tax assets and liabilities are adjusted through the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Our accrued tax rate is based on an annualized projection and changes considering our most recent financial results and balances. Our effective income tax rates have differed from the U.S. statutory rate due to the effect of tax-exempt income from loans, securities, life insurance policies, income tax effects associated with stock-based compensation, and permanent and temporary tax differences.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20"/>
                <w:szCs w:val="20"/>
                <w:color w:val="auto"/>
              </w:rPr>
            </w:pPr>
            <w:r>
              <w:rPr>
                <w:rFonts w:ascii="Arial" w:cs="Arial" w:eastAsia="Arial" w:hAnsi="Arial"/>
                <w:sz w:val="16"/>
                <w:szCs w:val="16"/>
                <w:color w:val="auto"/>
              </w:rPr>
              <w:t>The table below presents, for the periods indicated, income tax expense:</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54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5"/>
          </w:tcPr>
          <w:p>
            <w:pPr>
              <w:jc w:val="right"/>
              <w:ind w:right="1319"/>
              <w:spacing w:after="0"/>
              <w:rPr>
                <w:sz w:val="20"/>
                <w:szCs w:val="20"/>
                <w:color w:val="auto"/>
              </w:rPr>
            </w:pPr>
            <w:r>
              <w:rPr>
                <w:rFonts w:ascii="Arial" w:cs="Arial" w:eastAsia="Arial" w:hAnsi="Arial"/>
                <w:sz w:val="16"/>
                <w:szCs w:val="16"/>
                <w:b w:val="1"/>
                <w:bCs w:val="1"/>
                <w:color w:val="auto"/>
              </w:rPr>
              <w:t>For the Three Months Ended</w:t>
            </w: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4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80" w:type="dxa"/>
            <w:vAlign w:val="bottom"/>
          </w:tcPr>
          <w:p>
            <w:pPr>
              <w:spacing w:after="0"/>
              <w:rPr>
                <w:sz w:val="13"/>
                <w:szCs w:val="13"/>
                <w:color w:val="auto"/>
              </w:rPr>
            </w:pPr>
          </w:p>
        </w:tc>
        <w:tc>
          <w:tcPr>
            <w:tcW w:w="1440" w:type="dxa"/>
            <w:vAlign w:val="bottom"/>
            <w:gridSpan w:val="2"/>
          </w:tcPr>
          <w:p>
            <w:pPr>
              <w:jc w:val="center"/>
              <w:ind w:right="380"/>
              <w:spacing w:after="0" w:line="155" w:lineRule="exact"/>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3"/>
                <w:szCs w:val="13"/>
                <w:color w:val="auto"/>
              </w:rPr>
            </w:pPr>
          </w:p>
        </w:tc>
        <w:tc>
          <w:tcPr>
            <w:tcW w:w="1540" w:type="dxa"/>
            <w:vAlign w:val="bottom"/>
            <w:gridSpan w:val="2"/>
          </w:tcPr>
          <w:p>
            <w:pPr>
              <w:jc w:val="center"/>
              <w:ind w:right="320"/>
              <w:spacing w:after="0" w:line="155"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Increase (Decrease)</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48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192</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6.9%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320"/>
        <w:spacing w:after="0" w:line="266" w:lineRule="auto"/>
        <w:rPr>
          <w:sz w:val="20"/>
          <w:szCs w:val="20"/>
          <w:color w:val="auto"/>
        </w:rPr>
      </w:pPr>
      <w:r>
        <w:rPr>
          <w:rFonts w:ascii="Arial" w:cs="Arial" w:eastAsia="Arial" w:hAnsi="Arial"/>
          <w:sz w:val="16"/>
          <w:szCs w:val="16"/>
          <w:color w:val="auto"/>
        </w:rPr>
        <w:t>For the quarters ended March 31, 2026 and December 31, 2025, income tax expense totaled $3.0 million and $2.8 million, respectively. The increase in income tax expense was due to the increase in pre-tax income. Our effective income tax rates for the quarters ended March 31, 2026 and December 31, 2025, were 19.9% and 19.6%, respectively.</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20"/>
                <w:szCs w:val="20"/>
                <w:color w:val="auto"/>
              </w:rPr>
            </w:pPr>
            <w:r>
              <w:rPr>
                <w:rFonts w:ascii="Arial" w:cs="Arial" w:eastAsia="Arial" w:hAnsi="Arial"/>
                <w:sz w:val="16"/>
                <w:szCs w:val="16"/>
                <w:color w:val="auto"/>
              </w:rPr>
              <w:t>The table below presents, for the periods indicated, income tax expense:</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55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For the Three Months Ended</w:t>
            </w:r>
          </w:p>
        </w:tc>
        <w:tc>
          <w:tcPr>
            <w:tcW w:w="1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5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80" w:type="dxa"/>
            <w:vAlign w:val="bottom"/>
          </w:tcPr>
          <w:p>
            <w:pPr>
              <w:spacing w:after="0"/>
              <w:rPr>
                <w:sz w:val="13"/>
                <w:szCs w:val="13"/>
                <w:color w:val="auto"/>
              </w:rPr>
            </w:pPr>
          </w:p>
        </w:tc>
        <w:tc>
          <w:tcPr>
            <w:tcW w:w="1440" w:type="dxa"/>
            <w:vAlign w:val="bottom"/>
            <w:gridSpan w:val="2"/>
          </w:tcPr>
          <w:p>
            <w:pPr>
              <w:jc w:val="center"/>
              <w:ind w:right="380"/>
              <w:spacing w:after="0" w:line="155" w:lineRule="exact"/>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3"/>
                <w:szCs w:val="13"/>
                <w:color w:val="auto"/>
              </w:rPr>
            </w:pPr>
          </w:p>
        </w:tc>
        <w:tc>
          <w:tcPr>
            <w:tcW w:w="1460" w:type="dxa"/>
            <w:vAlign w:val="bottom"/>
            <w:gridSpan w:val="2"/>
          </w:tcPr>
          <w:p>
            <w:pPr>
              <w:jc w:val="center"/>
              <w:ind w:right="380"/>
              <w:spacing w:after="0" w:line="155" w:lineRule="exact"/>
              <w:rPr>
                <w:sz w:val="20"/>
                <w:szCs w:val="20"/>
                <w:color w:val="auto"/>
              </w:rPr>
            </w:pPr>
            <w:r>
              <w:rPr>
                <w:rFonts w:ascii="Arial" w:cs="Arial" w:eastAsia="Arial" w:hAnsi="Arial"/>
                <w:sz w:val="16"/>
                <w:szCs w:val="16"/>
                <w:b w:val="1"/>
                <w:bCs w:val="1"/>
                <w:color w:val="auto"/>
              </w:rPr>
              <w:t>March 31,</w:t>
            </w:r>
          </w:p>
        </w:tc>
        <w:tc>
          <w:tcPr>
            <w:tcW w:w="600" w:type="dxa"/>
            <w:vAlign w:val="bottom"/>
          </w:tcPr>
          <w:p>
            <w:pPr>
              <w:spacing w:after="0"/>
              <w:rPr>
                <w:sz w:val="13"/>
                <w:szCs w:val="13"/>
                <w:color w:val="auto"/>
              </w:rPr>
            </w:pPr>
          </w:p>
        </w:tc>
        <w:tc>
          <w:tcPr>
            <w:tcW w:w="11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rPr>
              <w:t>Increase</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50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(Decrease)</w:t>
            </w: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474</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80"/>
        <w:spacing w:after="0" w:line="275" w:lineRule="auto"/>
        <w:rPr>
          <w:sz w:val="20"/>
          <w:szCs w:val="20"/>
          <w:color w:val="auto"/>
        </w:rPr>
      </w:pPr>
      <w:r>
        <w:rPr>
          <w:rFonts w:ascii="Arial" w:cs="Arial" w:eastAsia="Arial" w:hAnsi="Arial"/>
          <w:sz w:val="16"/>
          <w:szCs w:val="16"/>
          <w:color w:val="auto"/>
        </w:rPr>
        <w:t>For the three months ended March 31, 2026 and 2025, income tax expense totaled $3.0 million and $2.5 million, respectively. The increase in income tax expense was primarily due to the increase in pre-tax income. Our effective income tax rates for the three months ended March 31, 2026 and 2025, were 19.9% and 19.4%,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CONDITION</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As of March 31, 2026, total assets were $3.35 billion, which was consistent with December 31, 2025. Cash and cash equivalents decreased $2.9 million, or 1.3%, to $210.5 million and were 6.3% of assets as of March 31, 2026. Total securities decreased $10.6 million, or 1.4%, to $762.4 million and were 22.8% of assets as of March 31, 2026. Loans HFI increased $5.9 million, or 0.3%, to $2.25 billion as of March 31, 2026. Total deposits decreased $17.5 million, or 0.6%, to $2.95 billion as of March 31, 2026, from $2.96 billion as of December 31, 2025. As of March 31, 2026, and December 31, 2025, we had no borrowings. Stockholders’ equity increased $8.2 million during the first three months of 2026 to $373.3 million as of March 31, 2026. As of March 31, 2026, the loans HFI to deposits ratio was 76.53%, compared to 75.88% as of December 31, 2025, and the noninterest-bearing deposits to total deposits ratio was 31.11%, compared to 30.84% as of December 31, 2025.</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Interest-bearing Deposits in Other Banks</w:t>
      </w:r>
    </w:p>
    <w:p>
      <w:pPr>
        <w:spacing w:after="0" w:line="13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Interest-bearing deposits in other banks were the third-largest component of earning assets as of March 31, 2026. Excess liquidity that is not being deployed into loans or securities is placed in these accounts. As of March 31, 2026, interest-bearing deposits in other banks were $173.8 million and 5.2% of assets, a decrease of $13.9 million, or 7.4%, compared to $187.7 million and 5.6% of assets as of December 31, 2025. This decrease was due to a reduction in customer deposit balances and the funding of loans during the first quarter of 2026.</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Securities</w:t>
      </w:r>
    </w:p>
    <w:p>
      <w:pPr>
        <w:spacing w:after="0" w:line="125"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Our securities portfolio is the second-largest component of earning assets and provides a significant source of revenue. Securities are classified as AFS, HTM, and equity securities. As of March 31, 2026, our total securities portfolio was 22.8% of assets. It is designed primarily to provide and maintain liquidity, generate a favorable return on investments without incurring unnecessary interest rate and credit risk, and complement our lending activities. We may invest in various types of liquid assets that are permissible under governing regulations and approved by our investment policy, which include U.S. Treasury obligations, U.S. government agency obligations, certificates of deposit of insured domestic banks, mortgage-backed and mortgage-related securities, corporate notes having an investment rating of “A” or better, municipal bonds, and certain equity securities.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Securities AFS and Securities HTM</w:t>
      </w:r>
    </w:p>
    <w:p>
      <w:pPr>
        <w:spacing w:after="0" w:line="13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Securities AFS and securities HTM are debt securities. Total debt securities on the consolidated balance sheets were $759.3 million as of March 31, 2026, a decrease of $10.6 million, or 1.4%, from $769.9 million as of December 31, 2025.</w:t>
      </w:r>
    </w:p>
    <w:p>
      <w:pPr>
        <w:spacing w:after="0" w:line="75"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Securities AFS are held for indefinite periods of time and are carried at estimated fair value. As of March 31, 2026, the estimated fair value of securities AFS was $638.7 million. The carrying values of our securities AFS are adjusted for unrealized gain or loss, and any unrealized gain or loss is reported on an after-tax basis as a component of AOCI in stockholders’ equity. The net unrealized loss on securities AFS increased $3.2 million for the three months ended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920"/>
        <w:spacing w:after="0" w:line="304" w:lineRule="auto"/>
        <w:rPr>
          <w:sz w:val="20"/>
          <w:szCs w:val="20"/>
          <w:color w:val="auto"/>
        </w:rPr>
      </w:pPr>
      <w:r>
        <w:rPr>
          <w:rFonts w:ascii="Arial" w:cs="Arial" w:eastAsia="Arial" w:hAnsi="Arial"/>
          <w:sz w:val="16"/>
          <w:szCs w:val="16"/>
          <w:color w:val="auto"/>
        </w:rPr>
        <w:t>March 31, 2026, resulting in a net unrealized loss of $46.4 million as of March 31, 2026, compared to a net unrealized loss of $43.2 million as of December 31, 2025.</w:t>
      </w:r>
    </w:p>
    <w:p>
      <w:pPr>
        <w:spacing w:after="0" w:line="47"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Securities HTM, which we have the intent and ability to hold until maturity, are carried at amortized cost. As of March 31, 2026, the amortized cost of securities HTM was $120.6 million. Securities HTM had an unrealized loss of $18.7 million as of March 31, 2026, compared to an unrealized loss of $18.2 million as of December 31, 2025.</w:t>
      </w:r>
    </w:p>
    <w:p>
      <w:pPr>
        <w:spacing w:after="0" w:line="8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Investment activity for the three months ended March 31, 2026, included $32.1 million in maturities, principal repayments, and calls, partially offset by $24.7 million of securities purchased. There were no sales of securities AFS, and there were no purchases or sales of securities HTM for the same period.</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portfolio tax-equivalent yield was 3.00% for the three months ended March 31, 2026, compared to 2.73% for the three months ended</w:t>
      </w:r>
    </w:p>
    <w:p>
      <w:pPr>
        <w:spacing w:after="0" w:line="21"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March 31, 2025. The increase in yield was primarily due to reinvesting lower yielding securities cash flows received between March 31, 2025 and March 31, 2026, as well as other liquid funds, into higher yielding securities.</w:t>
      </w:r>
    </w:p>
    <w:p>
      <w:pPr>
        <w:spacing w:after="0" w:line="77"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contractual maturity of mortgage-backed securities and collateralized mortgage obligations is not a reliable indicator of their expected lives because borrowers have the right to prepay their obligations at any time. Mortgage-backed securities and collateralized mortgage obligations are typically issued with stated principal amounts and are backed by pools of mortgage loans and other loans with varying maturities. The term of the underlying mortgages and loans may vary significantly due to the ability of a borrower to prepay. Monthly pay downs on mortgage-backed securities may cause the average lives of the securities to be much different than the stated contractual maturity. During a period of rising interest rates, fixed rate mortgage-backed securities are not likely to experience heavy prepayments of principal, and consequently, the average lives of these securities are typically lengthened. If interest rates begin to fall, prepayments may increase, thereby shortening the estimated average lives of these securities. As of March 31, 2026 and December 31, 2025, the average life of our securities portfolio was 6.1 years with an estimated effective duration of 4.2 years.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The following tables summarize the amortized cost and estimated fair value of our securities by type as of the dates indicated. As of March 31, 2026, other than securities issued by U.S. government agencies or government-sponsored enterprises, our securities portfolio did not contain securities of any one issuer with an aggregate book value in excess of 10.0% of our stockholders’ equity.</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6"/>
                <w:szCs w:val="16"/>
                <w:b w:val="1"/>
                <w:bCs w:val="1"/>
                <w:color w:val="auto"/>
              </w:rPr>
              <w:t>March 31, 2026</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9"/>
              </w:rPr>
              <w:t>Amortized</w:t>
            </w:r>
          </w:p>
        </w:tc>
        <w:tc>
          <w:tcPr>
            <w:tcW w:w="220" w:type="dxa"/>
            <w:vAlign w:val="bottom"/>
          </w:tcPr>
          <w:p>
            <w:pPr>
              <w:spacing w:after="0"/>
              <w:rPr>
                <w:sz w:val="14"/>
                <w:szCs w:val="14"/>
                <w:color w:val="auto"/>
              </w:rPr>
            </w:pPr>
          </w:p>
        </w:tc>
        <w:tc>
          <w:tcPr>
            <w:tcW w:w="1400" w:type="dxa"/>
            <w:vAlign w:val="bottom"/>
            <w:gridSpan w:val="2"/>
          </w:tcPr>
          <w:p>
            <w:pPr>
              <w:jc w:val="center"/>
              <w:ind w:right="340"/>
              <w:spacing w:after="0" w:line="169" w:lineRule="exact"/>
              <w:rPr>
                <w:sz w:val="20"/>
                <w:szCs w:val="20"/>
                <w:color w:val="auto"/>
              </w:rPr>
            </w:pPr>
            <w:r>
              <w:rPr>
                <w:rFonts w:ascii="Arial" w:cs="Arial" w:eastAsia="Arial" w:hAnsi="Arial"/>
                <w:sz w:val="16"/>
                <w:szCs w:val="16"/>
                <w:b w:val="1"/>
                <w:bCs w:val="1"/>
                <w:color w:val="auto"/>
                <w:w w:val="99"/>
              </w:rPr>
              <w:t>Gross</w:t>
            </w:r>
          </w:p>
        </w:tc>
        <w:tc>
          <w:tcPr>
            <w:tcW w:w="220" w:type="dxa"/>
            <w:vAlign w:val="bottom"/>
          </w:tcPr>
          <w:p>
            <w:pPr>
              <w:spacing w:after="0"/>
              <w:rPr>
                <w:sz w:val="14"/>
                <w:szCs w:val="14"/>
                <w:color w:val="auto"/>
              </w:rPr>
            </w:pPr>
          </w:p>
        </w:tc>
        <w:tc>
          <w:tcPr>
            <w:tcW w:w="1400" w:type="dxa"/>
            <w:vAlign w:val="bottom"/>
            <w:gridSpan w:val="2"/>
          </w:tcPr>
          <w:p>
            <w:pPr>
              <w:jc w:val="center"/>
              <w:ind w:right="340"/>
              <w:spacing w:after="0" w:line="169" w:lineRule="exact"/>
              <w:rPr>
                <w:sz w:val="20"/>
                <w:szCs w:val="20"/>
                <w:color w:val="auto"/>
              </w:rPr>
            </w:pPr>
            <w:r>
              <w:rPr>
                <w:rFonts w:ascii="Arial" w:cs="Arial" w:eastAsia="Arial" w:hAnsi="Arial"/>
                <w:sz w:val="16"/>
                <w:szCs w:val="16"/>
                <w:b w:val="1"/>
                <w:bCs w:val="1"/>
                <w:color w:val="auto"/>
                <w:w w:val="99"/>
              </w:rPr>
              <w:t>Gross</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rPr>
              <w:t>Unrealized</w:t>
            </w:r>
          </w:p>
        </w:tc>
        <w:tc>
          <w:tcPr>
            <w:tcW w:w="220" w:type="dxa"/>
            <w:vAlign w:val="bottom"/>
          </w:tcPr>
          <w:p>
            <w:pPr>
              <w:spacing w:after="0"/>
              <w:rPr>
                <w:sz w:val="14"/>
                <w:szCs w:val="14"/>
                <w:color w:val="auto"/>
              </w:rPr>
            </w:pPr>
          </w:p>
        </w:tc>
        <w:tc>
          <w:tcPr>
            <w:tcW w:w="140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4"/>
                <w:szCs w:val="14"/>
                <w:color w:val="auto"/>
              </w:rPr>
            </w:pPr>
          </w:p>
        </w:tc>
        <w:tc>
          <w:tcPr>
            <w:tcW w:w="12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6"/>
        </w:trPr>
        <w:tc>
          <w:tcPr>
            <w:tcW w:w="48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Cost</w:t>
            </w:r>
          </w:p>
        </w:tc>
        <w:tc>
          <w:tcPr>
            <w:tcW w:w="22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Gains</w:t>
            </w:r>
          </w:p>
        </w:tc>
        <w:tc>
          <w:tcPr>
            <w:tcW w:w="22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Losses</w:t>
            </w:r>
          </w:p>
        </w:tc>
        <w:tc>
          <w:tcPr>
            <w:tcW w:w="2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Securities AFS:</w:t>
            </w: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140"/>
              <w:spacing w:after="0"/>
              <w:rPr>
                <w:sz w:val="20"/>
                <w:szCs w:val="20"/>
                <w:color w:val="auto"/>
              </w:rPr>
            </w:pPr>
            <w:r>
              <w:rPr>
                <w:rFonts w:ascii="Arial" w:cs="Arial" w:eastAsia="Arial" w:hAnsi="Arial"/>
                <w:sz w:val="16"/>
                <w:szCs w:val="16"/>
                <w:color w:val="auto"/>
              </w:rPr>
              <w:t>Mortgage-backed securities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427,107</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1,147</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(18,742)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409,512</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Municipal bonds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195,139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167,389</w:t>
            </w:r>
          </w:p>
        </w:tc>
        <w:tc>
          <w:tcPr>
            <w:tcW w:w="0" w:type="dxa"/>
            <w:vAlign w:val="bottom"/>
          </w:tcPr>
          <w:p>
            <w:pPr>
              <w:spacing w:after="0"/>
              <w:rPr>
                <w:sz w:val="1"/>
                <w:szCs w:val="1"/>
                <w:color w:val="auto"/>
              </w:rPr>
            </w:pPr>
          </w:p>
        </w:tc>
      </w:tr>
      <w:tr>
        <w:trPr>
          <w:trHeight w:val="215"/>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U.S. agency securities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62,887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61,828</w:t>
            </w:r>
          </w:p>
        </w:tc>
        <w:tc>
          <w:tcPr>
            <w:tcW w:w="0" w:type="dxa"/>
            <w:vAlign w:val="bottom"/>
          </w:tcPr>
          <w:p>
            <w:pPr>
              <w:spacing w:after="0"/>
              <w:rPr>
                <w:sz w:val="1"/>
                <w:szCs w:val="1"/>
                <w:color w:val="auto"/>
              </w:rPr>
            </w:pPr>
          </w:p>
        </w:tc>
      </w:tr>
      <w:tr>
        <w:trPr>
          <w:trHeight w:val="235"/>
        </w:trPr>
        <w:tc>
          <w:tcPr>
            <w:tcW w:w="4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Securities AFS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685,133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(47,589)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638,729</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HTM:</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140"/>
              <w:spacing w:after="0"/>
              <w:rPr>
                <w:sz w:val="20"/>
                <w:szCs w:val="20"/>
                <w:color w:val="auto"/>
              </w:rPr>
            </w:pPr>
            <w:r>
              <w:rPr>
                <w:rFonts w:ascii="Arial" w:cs="Arial" w:eastAsia="Arial" w:hAnsi="Arial"/>
                <w:sz w:val="16"/>
                <w:szCs w:val="16"/>
                <w:color w:val="auto"/>
              </w:rPr>
              <w:t>Mortgage-backed securities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119,664</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(18,628)</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101,036</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agency securities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0" w:type="dxa"/>
            <w:vAlign w:val="bottom"/>
          </w:tcPr>
          <w:p>
            <w:pPr>
              <w:spacing w:after="0"/>
              <w:rPr>
                <w:sz w:val="1"/>
                <w:szCs w:val="1"/>
                <w:color w:val="auto"/>
              </w:rPr>
            </w:pPr>
          </w:p>
        </w:tc>
      </w:tr>
      <w:tr>
        <w:trPr>
          <w:trHeight w:val="209"/>
        </w:trPr>
        <w:tc>
          <w:tcPr>
            <w:tcW w:w="4860" w:type="dxa"/>
            <w:vAlign w:val="bottom"/>
          </w:tcPr>
          <w:p>
            <w:pPr>
              <w:ind w:left="220"/>
              <w:spacing w:after="0"/>
              <w:rPr>
                <w:sz w:val="20"/>
                <w:szCs w:val="20"/>
                <w:color w:val="auto"/>
              </w:rPr>
            </w:pPr>
            <w:r>
              <w:rPr>
                <w:rFonts w:ascii="Arial" w:cs="Arial" w:eastAsia="Arial" w:hAnsi="Arial"/>
                <w:sz w:val="16"/>
                <w:szCs w:val="16"/>
                <w:color w:val="auto"/>
              </w:rPr>
              <w:t>Total Securities HTM</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120,609</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(18,692)</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101,917</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48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6"/>
                <w:szCs w:val="16"/>
                <w:b w:val="1"/>
                <w:bCs w:val="1"/>
                <w:color w:val="auto"/>
              </w:rPr>
              <w:t>December 31, 2025</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9"/>
              </w:rPr>
              <w:t>Amortized</w:t>
            </w:r>
          </w:p>
        </w:tc>
        <w:tc>
          <w:tcPr>
            <w:tcW w:w="220" w:type="dxa"/>
            <w:vAlign w:val="bottom"/>
          </w:tcPr>
          <w:p>
            <w:pPr>
              <w:spacing w:after="0"/>
              <w:rPr>
                <w:sz w:val="14"/>
                <w:szCs w:val="14"/>
                <w:color w:val="auto"/>
              </w:rPr>
            </w:pPr>
          </w:p>
        </w:tc>
        <w:tc>
          <w:tcPr>
            <w:tcW w:w="1400" w:type="dxa"/>
            <w:vAlign w:val="bottom"/>
            <w:gridSpan w:val="2"/>
          </w:tcPr>
          <w:p>
            <w:pPr>
              <w:jc w:val="center"/>
              <w:ind w:right="340"/>
              <w:spacing w:after="0" w:line="169" w:lineRule="exact"/>
              <w:rPr>
                <w:sz w:val="20"/>
                <w:szCs w:val="20"/>
                <w:color w:val="auto"/>
              </w:rPr>
            </w:pPr>
            <w:r>
              <w:rPr>
                <w:rFonts w:ascii="Arial" w:cs="Arial" w:eastAsia="Arial" w:hAnsi="Arial"/>
                <w:sz w:val="16"/>
                <w:szCs w:val="16"/>
                <w:b w:val="1"/>
                <w:bCs w:val="1"/>
                <w:color w:val="auto"/>
                <w:w w:val="99"/>
              </w:rPr>
              <w:t>Gross</w:t>
            </w:r>
          </w:p>
        </w:tc>
        <w:tc>
          <w:tcPr>
            <w:tcW w:w="220" w:type="dxa"/>
            <w:vAlign w:val="bottom"/>
          </w:tcPr>
          <w:p>
            <w:pPr>
              <w:spacing w:after="0"/>
              <w:rPr>
                <w:sz w:val="14"/>
                <w:szCs w:val="14"/>
                <w:color w:val="auto"/>
              </w:rPr>
            </w:pPr>
          </w:p>
        </w:tc>
        <w:tc>
          <w:tcPr>
            <w:tcW w:w="1400" w:type="dxa"/>
            <w:vAlign w:val="bottom"/>
            <w:gridSpan w:val="2"/>
          </w:tcPr>
          <w:p>
            <w:pPr>
              <w:jc w:val="center"/>
              <w:ind w:right="340"/>
              <w:spacing w:after="0" w:line="169" w:lineRule="exact"/>
              <w:rPr>
                <w:sz w:val="20"/>
                <w:szCs w:val="20"/>
                <w:color w:val="auto"/>
              </w:rPr>
            </w:pPr>
            <w:r>
              <w:rPr>
                <w:rFonts w:ascii="Arial" w:cs="Arial" w:eastAsia="Arial" w:hAnsi="Arial"/>
                <w:sz w:val="16"/>
                <w:szCs w:val="16"/>
                <w:b w:val="1"/>
                <w:bCs w:val="1"/>
                <w:color w:val="auto"/>
                <w:w w:val="99"/>
              </w:rPr>
              <w:t>Gross</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rPr>
              <w:t>Unrealized</w:t>
            </w:r>
          </w:p>
        </w:tc>
        <w:tc>
          <w:tcPr>
            <w:tcW w:w="220" w:type="dxa"/>
            <w:vAlign w:val="bottom"/>
          </w:tcPr>
          <w:p>
            <w:pPr>
              <w:spacing w:after="0"/>
              <w:rPr>
                <w:sz w:val="14"/>
                <w:szCs w:val="14"/>
                <w:color w:val="auto"/>
              </w:rPr>
            </w:pPr>
          </w:p>
        </w:tc>
        <w:tc>
          <w:tcPr>
            <w:tcW w:w="140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4"/>
                <w:szCs w:val="14"/>
                <w:color w:val="auto"/>
              </w:rPr>
            </w:pPr>
          </w:p>
        </w:tc>
        <w:tc>
          <w:tcPr>
            <w:tcW w:w="12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6"/>
        </w:trPr>
        <w:tc>
          <w:tcPr>
            <w:tcW w:w="48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Cost</w:t>
            </w:r>
          </w:p>
        </w:tc>
        <w:tc>
          <w:tcPr>
            <w:tcW w:w="22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Gains</w:t>
            </w:r>
          </w:p>
        </w:tc>
        <w:tc>
          <w:tcPr>
            <w:tcW w:w="22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Losses</w:t>
            </w:r>
          </w:p>
        </w:tc>
        <w:tc>
          <w:tcPr>
            <w:tcW w:w="2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Securities AFS:</w:t>
            </w: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140"/>
              <w:spacing w:after="0"/>
              <w:rPr>
                <w:sz w:val="20"/>
                <w:szCs w:val="20"/>
                <w:color w:val="auto"/>
              </w:rPr>
            </w:pPr>
            <w:r>
              <w:rPr>
                <w:rFonts w:ascii="Arial" w:cs="Arial" w:eastAsia="Arial" w:hAnsi="Arial"/>
                <w:sz w:val="16"/>
                <w:szCs w:val="16"/>
                <w:color w:val="auto"/>
              </w:rPr>
              <w:t>Mortgage-backed securities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426,732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1,846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(18,549)</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410,029</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Municipal bonds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196,607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171,300</w:t>
            </w:r>
          </w:p>
        </w:tc>
        <w:tc>
          <w:tcPr>
            <w:tcW w:w="0" w:type="dxa"/>
            <w:vAlign w:val="bottom"/>
          </w:tcPr>
          <w:p>
            <w:pPr>
              <w:spacing w:after="0"/>
              <w:rPr>
                <w:sz w:val="1"/>
                <w:szCs w:val="1"/>
                <w:color w:val="auto"/>
              </w:rPr>
            </w:pPr>
          </w:p>
        </w:tc>
      </w:tr>
      <w:tr>
        <w:trPr>
          <w:trHeight w:val="215"/>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U.S. agency securities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67,146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65,981</w:t>
            </w:r>
          </w:p>
        </w:tc>
        <w:tc>
          <w:tcPr>
            <w:tcW w:w="0" w:type="dxa"/>
            <w:vAlign w:val="bottom"/>
          </w:tcPr>
          <w:p>
            <w:pPr>
              <w:spacing w:after="0"/>
              <w:rPr>
                <w:sz w:val="1"/>
                <w:szCs w:val="1"/>
                <w:color w:val="auto"/>
              </w:rPr>
            </w:pPr>
          </w:p>
        </w:tc>
      </w:tr>
      <w:tr>
        <w:trPr>
          <w:trHeight w:val="235"/>
        </w:trPr>
        <w:tc>
          <w:tcPr>
            <w:tcW w:w="4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Securities AFS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690,485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(45,054)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647,310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HTM:</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140"/>
              <w:spacing w:after="0"/>
              <w:rPr>
                <w:sz w:val="20"/>
                <w:szCs w:val="20"/>
                <w:color w:val="auto"/>
              </w:rPr>
            </w:pPr>
            <w:r>
              <w:rPr>
                <w:rFonts w:ascii="Arial" w:cs="Arial" w:eastAsia="Arial" w:hAnsi="Arial"/>
                <w:sz w:val="16"/>
                <w:szCs w:val="16"/>
                <w:color w:val="auto"/>
              </w:rPr>
              <w:t>Mortgage-backed securities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121,677</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(18,189)</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103,488</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agency securities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w:t>
            </w:r>
          </w:p>
        </w:tc>
        <w:tc>
          <w:tcPr>
            <w:tcW w:w="0" w:type="dxa"/>
            <w:vAlign w:val="bottom"/>
          </w:tcPr>
          <w:p>
            <w:pPr>
              <w:spacing w:after="0"/>
              <w:rPr>
                <w:sz w:val="1"/>
                <w:szCs w:val="1"/>
                <w:color w:val="auto"/>
              </w:rPr>
            </w:pPr>
          </w:p>
        </w:tc>
      </w:tr>
      <w:tr>
        <w:trPr>
          <w:trHeight w:val="209"/>
        </w:trPr>
        <w:tc>
          <w:tcPr>
            <w:tcW w:w="4860" w:type="dxa"/>
            <w:vAlign w:val="bottom"/>
          </w:tcPr>
          <w:p>
            <w:pPr>
              <w:ind w:left="220"/>
              <w:spacing w:after="0"/>
              <w:rPr>
                <w:sz w:val="20"/>
                <w:szCs w:val="20"/>
                <w:color w:val="auto"/>
              </w:rPr>
            </w:pPr>
            <w:r>
              <w:rPr>
                <w:rFonts w:ascii="Arial" w:cs="Arial" w:eastAsia="Arial" w:hAnsi="Arial"/>
                <w:sz w:val="16"/>
                <w:szCs w:val="16"/>
                <w:color w:val="auto"/>
              </w:rPr>
              <w:t>Total Securities HTM</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122,619</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(18,248)</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104,371</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color w:val="auto"/>
        </w:rPr>
        <w:t>The following table shows the fair value of securities AFS that mature during each of the periods indicated. The contractual maturity of a mortgage-backed security is the date the last underlying mortgage matures. Yields are weighted-average tax equivalent yields calculated by dividing projected annual income by the average amortized cost of the applicable securities while using a 21.0% federal income tax rate, when applicable.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gridSpan w:val="11"/>
          </w:tcPr>
          <w:p>
            <w:pPr>
              <w:ind w:left="420"/>
              <w:spacing w:after="0"/>
              <w:rPr>
                <w:sz w:val="20"/>
                <w:szCs w:val="20"/>
                <w:color w:val="auto"/>
              </w:rPr>
            </w:pPr>
            <w:r>
              <w:rPr>
                <w:rFonts w:ascii="Arial" w:cs="Arial" w:eastAsia="Arial" w:hAnsi="Arial"/>
                <w:sz w:val="14"/>
                <w:szCs w:val="14"/>
                <w:b w:val="1"/>
                <w:bCs w:val="1"/>
                <w:color w:val="auto"/>
              </w:rPr>
              <w:t>Contractual Maturity as of March 31, 2026</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w w:val="98"/>
              </w:rPr>
              <w:t>Within</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4"/>
          </w:tcPr>
          <w:p>
            <w:pPr>
              <w:jc w:val="center"/>
              <w:ind w:right="220"/>
              <w:spacing w:after="0" w:line="143" w:lineRule="exact"/>
              <w:rPr>
                <w:sz w:val="20"/>
                <w:szCs w:val="20"/>
                <w:color w:val="auto"/>
              </w:rPr>
            </w:pPr>
            <w:r>
              <w:rPr>
                <w:rFonts w:ascii="Arial" w:cs="Arial" w:eastAsia="Arial" w:hAnsi="Arial"/>
                <w:sz w:val="14"/>
                <w:szCs w:val="14"/>
                <w:b w:val="1"/>
                <w:bCs w:val="1"/>
                <w:color w:val="auto"/>
              </w:rPr>
              <w:t>After One Year</w:t>
            </w:r>
          </w:p>
        </w:tc>
        <w:tc>
          <w:tcPr>
            <w:tcW w:w="140" w:type="dxa"/>
            <w:vAlign w:val="bottom"/>
          </w:tcPr>
          <w:p>
            <w:pPr>
              <w:spacing w:after="0"/>
              <w:rPr>
                <w:sz w:val="12"/>
                <w:szCs w:val="12"/>
                <w:color w:val="auto"/>
              </w:rPr>
            </w:pPr>
          </w:p>
        </w:tc>
        <w:tc>
          <w:tcPr>
            <w:tcW w:w="1720" w:type="dxa"/>
            <w:vAlign w:val="bottom"/>
            <w:gridSpan w:val="4"/>
          </w:tcPr>
          <w:p>
            <w:pPr>
              <w:jc w:val="center"/>
              <w:ind w:right="240"/>
              <w:spacing w:after="0" w:line="143" w:lineRule="exact"/>
              <w:rPr>
                <w:sz w:val="20"/>
                <w:szCs w:val="20"/>
                <w:color w:val="auto"/>
              </w:rPr>
            </w:pPr>
            <w:r>
              <w:rPr>
                <w:rFonts w:ascii="Arial" w:cs="Arial" w:eastAsia="Arial" w:hAnsi="Arial"/>
                <w:sz w:val="14"/>
                <w:szCs w:val="14"/>
                <w:b w:val="1"/>
                <w:bCs w:val="1"/>
                <w:color w:val="auto"/>
              </w:rPr>
              <w:t>After Five Years</w:t>
            </w:r>
          </w:p>
        </w:tc>
        <w:tc>
          <w:tcPr>
            <w:tcW w:w="140" w:type="dxa"/>
            <w:vAlign w:val="bottom"/>
          </w:tcPr>
          <w:p>
            <w:pPr>
              <w:spacing w:after="0"/>
              <w:rPr>
                <w:sz w:val="12"/>
                <w:szCs w:val="12"/>
                <w:color w:val="auto"/>
              </w:rPr>
            </w:pPr>
          </w:p>
        </w:tc>
        <w:tc>
          <w:tcPr>
            <w:tcW w:w="96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After</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rPr>
              <w:t>but Within</w:t>
            </w:r>
          </w:p>
        </w:tc>
        <w:tc>
          <w:tcPr>
            <w:tcW w:w="140" w:type="dxa"/>
            <w:vAlign w:val="bottom"/>
          </w:tcPr>
          <w:p>
            <w:pPr>
              <w:spacing w:after="0"/>
              <w:rPr>
                <w:sz w:val="12"/>
                <w:szCs w:val="12"/>
                <w:color w:val="auto"/>
              </w:rPr>
            </w:pPr>
          </w:p>
        </w:tc>
        <w:tc>
          <w:tcPr>
            <w:tcW w:w="17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rPr>
              <w:t>but Within</w:t>
            </w:r>
          </w:p>
        </w:tc>
        <w:tc>
          <w:tcPr>
            <w:tcW w:w="1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Total</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One Year</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48"/>
              <w:spacing w:after="0"/>
              <w:rPr>
                <w:sz w:val="20"/>
                <w:szCs w:val="20"/>
                <w:color w:val="auto"/>
              </w:rPr>
            </w:pPr>
            <w:r>
              <w:rPr>
                <w:rFonts w:ascii="Arial" w:cs="Arial" w:eastAsia="Arial" w:hAnsi="Arial"/>
                <w:sz w:val="14"/>
                <w:szCs w:val="14"/>
                <w:b w:val="1"/>
                <w:bCs w:val="1"/>
                <w:color w:val="auto"/>
              </w:rPr>
              <w:t>Five Years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68"/>
              <w:spacing w:after="0"/>
              <w:rPr>
                <w:sz w:val="20"/>
                <w:szCs w:val="20"/>
                <w:color w:val="auto"/>
              </w:rPr>
            </w:pPr>
            <w:r>
              <w:rPr>
                <w:rFonts w:ascii="Arial" w:cs="Arial" w:eastAsia="Arial" w:hAnsi="Arial"/>
                <w:sz w:val="14"/>
                <w:szCs w:val="14"/>
                <w:b w:val="1"/>
                <w:bCs w:val="1"/>
                <w:color w:val="auto"/>
              </w:rPr>
              <w:t>Ten Years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Ten Years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10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Pr>
          <w:p>
            <w:pPr>
              <w:spacing w:after="0"/>
              <w:rPr>
                <w:sz w:val="17"/>
                <w:szCs w:val="17"/>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740" w:type="dxa"/>
            <w:vAlign w:val="bottom"/>
            <w:gridSpan w:val="2"/>
          </w:tcPr>
          <w:p>
            <w:pPr>
              <w:ind w:left="20"/>
              <w:spacing w:after="0" w:line="196" w:lineRule="exact"/>
              <w:rPr>
                <w:sz w:val="20"/>
                <w:szCs w:val="20"/>
                <w:color w:val="auto"/>
              </w:rPr>
            </w:pPr>
            <w:r>
              <w:rPr>
                <w:rFonts w:ascii="Arial" w:cs="Arial" w:eastAsia="Arial" w:hAnsi="Arial"/>
                <w:sz w:val="14"/>
                <w:szCs w:val="14"/>
                <w:b w:val="1"/>
                <w:bCs w:val="1"/>
                <w:color w:val="auto"/>
              </w:rPr>
              <w:t>Yield</w:t>
            </w:r>
            <w:r>
              <w:rPr>
                <w:rFonts w:ascii="Arial" w:cs="Arial" w:eastAsia="Arial" w:hAnsi="Arial"/>
                <w:sz w:val="18"/>
                <w:szCs w:val="18"/>
                <w:b w:val="1"/>
                <w:bCs w:val="1"/>
                <w:color w:val="auto"/>
                <w:vertAlign w:val="superscript"/>
              </w:rPr>
              <w:t>(1)</w:t>
            </w:r>
          </w:p>
        </w:tc>
        <w:tc>
          <w:tcPr>
            <w:tcW w:w="12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900" w:type="dxa"/>
            <w:vAlign w:val="bottom"/>
            <w:gridSpan w:val="2"/>
          </w:tcPr>
          <w:p>
            <w:pPr>
              <w:ind w:left="180"/>
              <w:spacing w:after="0" w:line="196" w:lineRule="exact"/>
              <w:rPr>
                <w:sz w:val="20"/>
                <w:szCs w:val="20"/>
                <w:color w:val="auto"/>
              </w:rPr>
            </w:pPr>
            <w:r>
              <w:rPr>
                <w:rFonts w:ascii="Arial" w:cs="Arial" w:eastAsia="Arial" w:hAnsi="Arial"/>
                <w:sz w:val="14"/>
                <w:szCs w:val="14"/>
                <w:b w:val="1"/>
                <w:bCs w:val="1"/>
                <w:color w:val="auto"/>
              </w:rPr>
              <w:t>Yield</w:t>
            </w:r>
            <w:r>
              <w:rPr>
                <w:rFonts w:ascii="Arial" w:cs="Arial" w:eastAsia="Arial" w:hAnsi="Arial"/>
                <w:sz w:val="18"/>
                <w:szCs w:val="18"/>
                <w:b w:val="1"/>
                <w:bCs w:val="1"/>
                <w:color w:val="auto"/>
                <w:vertAlign w:val="superscript"/>
              </w:rPr>
              <w:t>(1)</w:t>
            </w:r>
          </w:p>
        </w:tc>
        <w:tc>
          <w:tcPr>
            <w:tcW w:w="14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900" w:type="dxa"/>
            <w:vAlign w:val="bottom"/>
            <w:gridSpan w:val="2"/>
          </w:tcPr>
          <w:p>
            <w:pPr>
              <w:ind w:left="180"/>
              <w:spacing w:after="0" w:line="196" w:lineRule="exact"/>
              <w:rPr>
                <w:sz w:val="20"/>
                <w:szCs w:val="20"/>
                <w:color w:val="auto"/>
              </w:rPr>
            </w:pPr>
            <w:r>
              <w:rPr>
                <w:rFonts w:ascii="Arial" w:cs="Arial" w:eastAsia="Arial" w:hAnsi="Arial"/>
                <w:sz w:val="14"/>
                <w:szCs w:val="14"/>
                <w:b w:val="1"/>
                <w:bCs w:val="1"/>
                <w:color w:val="auto"/>
              </w:rPr>
              <w:t>Yield</w:t>
            </w:r>
            <w:r>
              <w:rPr>
                <w:rFonts w:ascii="Arial" w:cs="Arial" w:eastAsia="Arial" w:hAnsi="Arial"/>
                <w:sz w:val="18"/>
                <w:szCs w:val="18"/>
                <w:b w:val="1"/>
                <w:bCs w:val="1"/>
                <w:color w:val="auto"/>
                <w:vertAlign w:val="superscript"/>
              </w:rPr>
              <w:t>(1)</w:t>
            </w:r>
          </w:p>
        </w:tc>
        <w:tc>
          <w:tcPr>
            <w:tcW w:w="140" w:type="dxa"/>
            <w:vAlign w:val="bottom"/>
          </w:tcPr>
          <w:p>
            <w:pPr>
              <w:spacing w:after="0"/>
              <w:rPr>
                <w:sz w:val="17"/>
                <w:szCs w:val="17"/>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ind w:left="40"/>
              <w:spacing w:after="0" w:line="196" w:lineRule="exact"/>
              <w:rPr>
                <w:sz w:val="20"/>
                <w:szCs w:val="20"/>
                <w:color w:val="auto"/>
              </w:rPr>
            </w:pPr>
            <w:r>
              <w:rPr>
                <w:rFonts w:ascii="Arial" w:cs="Arial" w:eastAsia="Arial" w:hAnsi="Arial"/>
                <w:sz w:val="14"/>
                <w:szCs w:val="14"/>
                <w:b w:val="1"/>
                <w:bCs w:val="1"/>
                <w:color w:val="auto"/>
              </w:rPr>
              <w:t>Yield</w:t>
            </w:r>
            <w:r>
              <w:rPr>
                <w:rFonts w:ascii="Arial" w:cs="Arial" w:eastAsia="Arial" w:hAnsi="Arial"/>
                <w:sz w:val="18"/>
                <w:szCs w:val="18"/>
                <w:b w:val="1"/>
                <w:bCs w:val="1"/>
                <w:color w:val="auto"/>
                <w:vertAlign w:val="superscript"/>
              </w:rPr>
              <w:t>(1)</w:t>
            </w:r>
          </w:p>
        </w:tc>
        <w:tc>
          <w:tcPr>
            <w:tcW w:w="120" w:type="dxa"/>
            <w:vAlign w:val="bottom"/>
          </w:tcPr>
          <w:p>
            <w:pPr>
              <w:spacing w:after="0"/>
              <w:rPr>
                <w:sz w:val="17"/>
                <w:szCs w:val="17"/>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jc w:val="right"/>
              <w:ind w:right="108"/>
              <w:spacing w:after="0" w:line="196" w:lineRule="exact"/>
              <w:rPr>
                <w:sz w:val="20"/>
                <w:szCs w:val="20"/>
                <w:color w:val="auto"/>
              </w:rPr>
            </w:pPr>
            <w:r>
              <w:rPr>
                <w:rFonts w:ascii="Arial" w:cs="Arial" w:eastAsia="Arial" w:hAnsi="Arial"/>
                <w:sz w:val="14"/>
                <w:szCs w:val="14"/>
                <w:b w:val="1"/>
                <w:bCs w:val="1"/>
                <w:color w:val="auto"/>
                <w:w w:val="99"/>
              </w:rPr>
              <w:t>Yield</w:t>
            </w:r>
            <w:r>
              <w:rPr>
                <w:rFonts w:ascii="Arial" w:cs="Arial" w:eastAsia="Arial" w:hAnsi="Arial"/>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183"/>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Securities AFS:</w:t>
            </w: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100" w:type="dxa"/>
            <w:vAlign w:val="bottom"/>
          </w:tcPr>
          <w:p>
            <w:pPr>
              <w:ind w:left="100"/>
              <w:spacing w:after="0"/>
              <w:rPr>
                <w:sz w:val="20"/>
                <w:szCs w:val="20"/>
                <w:color w:val="auto"/>
              </w:rPr>
            </w:pPr>
            <w:r>
              <w:rPr>
                <w:rFonts w:ascii="Arial" w:cs="Arial" w:eastAsia="Arial" w:hAnsi="Arial"/>
                <w:sz w:val="14"/>
                <w:szCs w:val="14"/>
                <w:color w:val="auto"/>
              </w:rPr>
              <w:t>Mortgage-backed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10,453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47,305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351,541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409,512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207"/>
        </w:trPr>
        <w:tc>
          <w:tcPr>
            <w:tcW w:w="2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Municipal bonds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45,689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108,256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167,389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98"/>
        </w:trPr>
        <w:tc>
          <w:tcPr>
            <w:tcW w:w="21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U.S. agency securities</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3.52%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4,097</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37,679</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18,955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3.59%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61,828</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225"/>
        </w:trPr>
        <w:tc>
          <w:tcPr>
            <w:tcW w:w="2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Securities AFS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25,203</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130,673</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478,752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638,729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160" w:hanging="152"/>
        <w:spacing w:after="0"/>
        <w:tabs>
          <w:tab w:leader="none" w:pos="160" w:val="left"/>
        </w:tabs>
        <w:numPr>
          <w:ilvl w:val="0"/>
          <w:numId w:val="22"/>
        </w:numPr>
        <w:rPr>
          <w:rFonts w:ascii="Arial" w:cs="Arial" w:eastAsia="Arial" w:hAnsi="Arial"/>
          <w:sz w:val="16"/>
          <w:szCs w:val="16"/>
          <w:color w:val="auto"/>
          <w:vertAlign w:val="superscript"/>
        </w:rPr>
      </w:pPr>
      <w:r>
        <w:rPr>
          <w:rFonts w:ascii="Arial" w:cs="Arial" w:eastAsia="Arial" w:hAnsi="Arial"/>
          <w:sz w:val="13"/>
          <w:szCs w:val="13"/>
          <w:color w:val="auto"/>
        </w:rPr>
        <w:t>Tax equivalent projected book yield as of March 31, 2026.</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following table shows the amortized cost of securities HTM that mature during each of the periods indicated. The contractual maturity of a mortgage-backed security is the date the last underlying mortgage matures. Yields are weighted-average tax equivalent yields calculated by dividing projected annual income by the average amortized cost of the applicable securities while using a 21.0% federal income tax rate, when applicable.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gridSpan w:val="11"/>
          </w:tcPr>
          <w:p>
            <w:pPr>
              <w:ind w:left="400"/>
              <w:spacing w:after="0"/>
              <w:rPr>
                <w:sz w:val="20"/>
                <w:szCs w:val="20"/>
                <w:color w:val="auto"/>
              </w:rPr>
            </w:pPr>
            <w:r>
              <w:rPr>
                <w:rFonts w:ascii="Arial" w:cs="Arial" w:eastAsia="Arial" w:hAnsi="Arial"/>
                <w:sz w:val="14"/>
                <w:szCs w:val="14"/>
                <w:b w:val="1"/>
                <w:bCs w:val="1"/>
                <w:color w:val="auto"/>
              </w:rPr>
              <w:t>Contractual Maturity as of March 31, 2026</w:t>
            </w: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w w:val="98"/>
              </w:rPr>
              <w:t>Within</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4"/>
          </w:tcPr>
          <w:p>
            <w:pPr>
              <w:jc w:val="center"/>
              <w:ind w:right="220"/>
              <w:spacing w:after="0" w:line="143" w:lineRule="exact"/>
              <w:rPr>
                <w:sz w:val="20"/>
                <w:szCs w:val="20"/>
                <w:color w:val="auto"/>
              </w:rPr>
            </w:pPr>
            <w:r>
              <w:rPr>
                <w:rFonts w:ascii="Arial" w:cs="Arial" w:eastAsia="Arial" w:hAnsi="Arial"/>
                <w:sz w:val="14"/>
                <w:szCs w:val="14"/>
                <w:b w:val="1"/>
                <w:bCs w:val="1"/>
                <w:color w:val="auto"/>
              </w:rPr>
              <w:t>After One Year</w:t>
            </w:r>
          </w:p>
        </w:tc>
        <w:tc>
          <w:tcPr>
            <w:tcW w:w="140" w:type="dxa"/>
            <w:vAlign w:val="bottom"/>
          </w:tcPr>
          <w:p>
            <w:pPr>
              <w:spacing w:after="0"/>
              <w:rPr>
                <w:sz w:val="12"/>
                <w:szCs w:val="12"/>
                <w:color w:val="auto"/>
              </w:rPr>
            </w:pPr>
          </w:p>
        </w:tc>
        <w:tc>
          <w:tcPr>
            <w:tcW w:w="1720" w:type="dxa"/>
            <w:vAlign w:val="bottom"/>
            <w:gridSpan w:val="4"/>
          </w:tcPr>
          <w:p>
            <w:pPr>
              <w:jc w:val="center"/>
              <w:ind w:right="240"/>
              <w:spacing w:after="0" w:line="143" w:lineRule="exact"/>
              <w:rPr>
                <w:sz w:val="20"/>
                <w:szCs w:val="20"/>
                <w:color w:val="auto"/>
              </w:rPr>
            </w:pPr>
            <w:r>
              <w:rPr>
                <w:rFonts w:ascii="Arial" w:cs="Arial" w:eastAsia="Arial" w:hAnsi="Arial"/>
                <w:sz w:val="14"/>
                <w:szCs w:val="14"/>
                <w:b w:val="1"/>
                <w:bCs w:val="1"/>
                <w:color w:val="auto"/>
              </w:rPr>
              <w:t>After Five Years</w:t>
            </w:r>
          </w:p>
        </w:tc>
        <w:tc>
          <w:tcPr>
            <w:tcW w:w="120" w:type="dxa"/>
            <w:vAlign w:val="bottom"/>
          </w:tcPr>
          <w:p>
            <w:pPr>
              <w:spacing w:after="0"/>
              <w:rPr>
                <w:sz w:val="12"/>
                <w:szCs w:val="12"/>
                <w:color w:val="auto"/>
              </w:rPr>
            </w:pPr>
          </w:p>
        </w:tc>
        <w:tc>
          <w:tcPr>
            <w:tcW w:w="96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After</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rPr>
              <w:t>but Within</w:t>
            </w:r>
          </w:p>
        </w:tc>
        <w:tc>
          <w:tcPr>
            <w:tcW w:w="140" w:type="dxa"/>
            <w:vAlign w:val="bottom"/>
          </w:tcPr>
          <w:p>
            <w:pPr>
              <w:spacing w:after="0"/>
              <w:rPr>
                <w:sz w:val="12"/>
                <w:szCs w:val="12"/>
                <w:color w:val="auto"/>
              </w:rPr>
            </w:pPr>
          </w:p>
        </w:tc>
        <w:tc>
          <w:tcPr>
            <w:tcW w:w="172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rPr>
              <w:t>but Within</w:t>
            </w: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Total</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One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68"/>
              <w:spacing w:after="0"/>
              <w:rPr>
                <w:sz w:val="20"/>
                <w:szCs w:val="20"/>
                <w:color w:val="auto"/>
              </w:rPr>
            </w:pPr>
            <w:r>
              <w:rPr>
                <w:rFonts w:ascii="Arial" w:cs="Arial" w:eastAsia="Arial" w:hAnsi="Arial"/>
                <w:sz w:val="14"/>
                <w:szCs w:val="14"/>
                <w:b w:val="1"/>
                <w:bCs w:val="1"/>
                <w:color w:val="auto"/>
                <w:w w:val="99"/>
              </w:rPr>
              <w:t>Five Years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48"/>
              <w:spacing w:after="0"/>
              <w:rPr>
                <w:sz w:val="20"/>
                <w:szCs w:val="20"/>
                <w:color w:val="auto"/>
              </w:rPr>
            </w:pPr>
            <w:r>
              <w:rPr>
                <w:rFonts w:ascii="Arial" w:cs="Arial" w:eastAsia="Arial" w:hAnsi="Arial"/>
                <w:sz w:val="14"/>
                <w:szCs w:val="14"/>
                <w:b w:val="1"/>
                <w:bCs w:val="1"/>
                <w:color w:val="auto"/>
              </w:rPr>
              <w:t>Ten Years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Ten Years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8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Pr>
          <w:p>
            <w:pPr>
              <w:spacing w:after="0"/>
              <w:rPr>
                <w:sz w:val="17"/>
                <w:szCs w:val="17"/>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740" w:type="dxa"/>
            <w:vAlign w:val="bottom"/>
            <w:gridSpan w:val="2"/>
          </w:tcPr>
          <w:p>
            <w:pPr>
              <w:ind w:left="20"/>
              <w:spacing w:after="0" w:line="196" w:lineRule="exact"/>
              <w:rPr>
                <w:sz w:val="20"/>
                <w:szCs w:val="20"/>
                <w:color w:val="auto"/>
              </w:rPr>
            </w:pPr>
            <w:r>
              <w:rPr>
                <w:rFonts w:ascii="Arial" w:cs="Arial" w:eastAsia="Arial" w:hAnsi="Arial"/>
                <w:sz w:val="14"/>
                <w:szCs w:val="14"/>
                <w:b w:val="1"/>
                <w:bCs w:val="1"/>
                <w:color w:val="auto"/>
              </w:rPr>
              <w:t>Yield</w:t>
            </w:r>
            <w:r>
              <w:rPr>
                <w:rFonts w:ascii="Arial" w:cs="Arial" w:eastAsia="Arial" w:hAnsi="Arial"/>
                <w:sz w:val="18"/>
                <w:szCs w:val="18"/>
                <w:b w:val="1"/>
                <w:bCs w:val="1"/>
                <w:color w:val="auto"/>
                <w:vertAlign w:val="superscript"/>
              </w:rPr>
              <w:t>(1)</w:t>
            </w:r>
          </w:p>
        </w:tc>
        <w:tc>
          <w:tcPr>
            <w:tcW w:w="14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900" w:type="dxa"/>
            <w:vAlign w:val="bottom"/>
            <w:gridSpan w:val="2"/>
          </w:tcPr>
          <w:p>
            <w:pPr>
              <w:ind w:left="180"/>
              <w:spacing w:after="0" w:line="196" w:lineRule="exact"/>
              <w:rPr>
                <w:sz w:val="20"/>
                <w:szCs w:val="20"/>
                <w:color w:val="auto"/>
              </w:rPr>
            </w:pPr>
            <w:r>
              <w:rPr>
                <w:rFonts w:ascii="Arial" w:cs="Arial" w:eastAsia="Arial" w:hAnsi="Arial"/>
                <w:sz w:val="14"/>
                <w:szCs w:val="14"/>
                <w:b w:val="1"/>
                <w:bCs w:val="1"/>
                <w:color w:val="auto"/>
              </w:rPr>
              <w:t>Yield</w:t>
            </w:r>
            <w:r>
              <w:rPr>
                <w:rFonts w:ascii="Arial" w:cs="Arial" w:eastAsia="Arial" w:hAnsi="Arial"/>
                <w:sz w:val="18"/>
                <w:szCs w:val="18"/>
                <w:b w:val="1"/>
                <w:bCs w:val="1"/>
                <w:color w:val="auto"/>
                <w:vertAlign w:val="superscript"/>
              </w:rPr>
              <w:t>(1)</w:t>
            </w:r>
          </w:p>
        </w:tc>
        <w:tc>
          <w:tcPr>
            <w:tcW w:w="140" w:type="dxa"/>
            <w:vAlign w:val="bottom"/>
          </w:tcPr>
          <w:p>
            <w:pPr>
              <w:spacing w:after="0"/>
              <w:rPr>
                <w:sz w:val="17"/>
                <w:szCs w:val="17"/>
                <w:color w:val="auto"/>
              </w:rPr>
            </w:pPr>
          </w:p>
        </w:tc>
        <w:tc>
          <w:tcPr>
            <w:tcW w:w="720" w:type="dxa"/>
            <w:vAlign w:val="bottom"/>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900" w:type="dxa"/>
            <w:vAlign w:val="bottom"/>
            <w:gridSpan w:val="2"/>
          </w:tcPr>
          <w:p>
            <w:pPr>
              <w:ind w:left="160"/>
              <w:spacing w:after="0" w:line="196" w:lineRule="exact"/>
              <w:rPr>
                <w:sz w:val="20"/>
                <w:szCs w:val="20"/>
                <w:color w:val="auto"/>
              </w:rPr>
            </w:pPr>
            <w:r>
              <w:rPr>
                <w:rFonts w:ascii="Arial" w:cs="Arial" w:eastAsia="Arial" w:hAnsi="Arial"/>
                <w:sz w:val="14"/>
                <w:szCs w:val="14"/>
                <w:b w:val="1"/>
                <w:bCs w:val="1"/>
                <w:color w:val="auto"/>
              </w:rPr>
              <w:t>Yield</w:t>
            </w:r>
            <w:r>
              <w:rPr>
                <w:rFonts w:ascii="Arial" w:cs="Arial" w:eastAsia="Arial" w:hAnsi="Arial"/>
                <w:sz w:val="18"/>
                <w:szCs w:val="18"/>
                <w:b w:val="1"/>
                <w:bCs w:val="1"/>
                <w:color w:val="auto"/>
                <w:vertAlign w:val="superscript"/>
              </w:rPr>
              <w:t>(1)</w:t>
            </w:r>
          </w:p>
        </w:tc>
        <w:tc>
          <w:tcPr>
            <w:tcW w:w="120" w:type="dxa"/>
            <w:vAlign w:val="bottom"/>
          </w:tcPr>
          <w:p>
            <w:pPr>
              <w:spacing w:after="0"/>
              <w:rPr>
                <w:sz w:val="17"/>
                <w:szCs w:val="17"/>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2"/>
          </w:tcPr>
          <w:p>
            <w:pPr>
              <w:ind w:left="60"/>
              <w:spacing w:after="0" w:line="196" w:lineRule="exact"/>
              <w:rPr>
                <w:sz w:val="20"/>
                <w:szCs w:val="20"/>
                <w:color w:val="auto"/>
              </w:rPr>
            </w:pPr>
            <w:r>
              <w:rPr>
                <w:rFonts w:ascii="Arial" w:cs="Arial" w:eastAsia="Arial" w:hAnsi="Arial"/>
                <w:sz w:val="14"/>
                <w:szCs w:val="14"/>
                <w:b w:val="1"/>
                <w:bCs w:val="1"/>
                <w:color w:val="auto"/>
              </w:rPr>
              <w:t>Yield</w:t>
            </w:r>
            <w:r>
              <w:rPr>
                <w:rFonts w:ascii="Arial" w:cs="Arial" w:eastAsia="Arial" w:hAnsi="Arial"/>
                <w:sz w:val="18"/>
                <w:szCs w:val="18"/>
                <w:b w:val="1"/>
                <w:bCs w:val="1"/>
                <w:color w:val="auto"/>
                <w:vertAlign w:val="superscript"/>
              </w:rPr>
              <w:t>(1)</w:t>
            </w:r>
          </w:p>
        </w:tc>
        <w:tc>
          <w:tcPr>
            <w:tcW w:w="120" w:type="dxa"/>
            <w:vAlign w:val="bottom"/>
          </w:tcPr>
          <w:p>
            <w:pPr>
              <w:spacing w:after="0"/>
              <w:rPr>
                <w:sz w:val="17"/>
                <w:szCs w:val="17"/>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jc w:val="right"/>
              <w:ind w:right="108"/>
              <w:spacing w:after="0" w:line="196" w:lineRule="exact"/>
              <w:rPr>
                <w:sz w:val="20"/>
                <w:szCs w:val="20"/>
                <w:color w:val="auto"/>
              </w:rPr>
            </w:pPr>
            <w:r>
              <w:rPr>
                <w:rFonts w:ascii="Arial" w:cs="Arial" w:eastAsia="Arial" w:hAnsi="Arial"/>
                <w:sz w:val="14"/>
                <w:szCs w:val="14"/>
                <w:b w:val="1"/>
                <w:bCs w:val="1"/>
                <w:color w:val="auto"/>
                <w:w w:val="99"/>
              </w:rPr>
              <w:t>Yield</w:t>
            </w:r>
            <w:r>
              <w:rPr>
                <w:rFonts w:ascii="Arial" w:cs="Arial" w:eastAsia="Arial" w:hAnsi="Arial"/>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183"/>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Securities HTM:</w:t>
            </w: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80" w:type="dxa"/>
            <w:vAlign w:val="bottom"/>
          </w:tcPr>
          <w:p>
            <w:pPr>
              <w:ind w:left="100"/>
              <w:spacing w:after="0"/>
              <w:rPr>
                <w:sz w:val="20"/>
                <w:szCs w:val="20"/>
                <w:color w:val="auto"/>
              </w:rPr>
            </w:pPr>
            <w:r>
              <w:rPr>
                <w:rFonts w:ascii="Arial" w:cs="Arial" w:eastAsia="Arial" w:hAnsi="Arial"/>
                <w:sz w:val="14"/>
                <w:szCs w:val="14"/>
                <w:color w:val="auto"/>
              </w:rPr>
              <w:t>Mortgage-backed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119,664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119,664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U.S. agency securities</w:t>
            </w: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spacing w:after="0"/>
              <w:rPr>
                <w:sz w:val="17"/>
                <w:szCs w:val="17"/>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945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200"/>
        </w:trPr>
        <w:tc>
          <w:tcPr>
            <w:tcW w:w="2080" w:type="dxa"/>
            <w:vAlign w:val="bottom"/>
          </w:tcPr>
          <w:p>
            <w:pPr>
              <w:ind w:left="260"/>
              <w:spacing w:after="0"/>
              <w:rPr>
                <w:sz w:val="20"/>
                <w:szCs w:val="20"/>
                <w:color w:val="auto"/>
              </w:rPr>
            </w:pPr>
            <w:r>
              <w:rPr>
                <w:rFonts w:ascii="Arial" w:cs="Arial" w:eastAsia="Arial" w:hAnsi="Arial"/>
                <w:sz w:val="14"/>
                <w:szCs w:val="14"/>
                <w:color w:val="auto"/>
              </w:rPr>
              <w:t>Total Securities HTM</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945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119,664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120,609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60" w:hanging="152"/>
        <w:spacing w:after="0"/>
        <w:tabs>
          <w:tab w:leader="none" w:pos="160" w:val="left"/>
        </w:tabs>
        <w:numPr>
          <w:ilvl w:val="0"/>
          <w:numId w:val="23"/>
        </w:numPr>
        <w:rPr>
          <w:rFonts w:ascii="Arial" w:cs="Arial" w:eastAsia="Arial" w:hAnsi="Arial"/>
          <w:sz w:val="16"/>
          <w:szCs w:val="16"/>
          <w:color w:val="auto"/>
          <w:vertAlign w:val="superscript"/>
        </w:rPr>
      </w:pPr>
      <w:r>
        <w:rPr>
          <w:rFonts w:ascii="Arial" w:cs="Arial" w:eastAsia="Arial" w:hAnsi="Arial"/>
          <w:sz w:val="13"/>
          <w:szCs w:val="13"/>
          <w:color w:val="auto"/>
        </w:rPr>
        <w:t>Tax equivalent projected book yield as of March 31, 2026.</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Equity Securities</w:t>
      </w:r>
    </w:p>
    <w:p>
      <w:pPr>
        <w:spacing w:after="0" w:line="138"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Equity securities are an investment in a CRA mutual fund, consisting primarily of bonds. Equity securities are carried at fair value on the consolidated balance sheets with periodic changes in value recorded through the consolidated statements of income. As of March 31, 2026, equity securities had a fair value of $3.0 million with a recognized loss of $19,000 for the three months ended March 31, 2026. As of December 31, 2025, equity securities had a fair value of $3.0 million with a recognized gain of $94,000 for the year ended December 31, 2025.</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Loan Portfolio</w:t>
      </w:r>
    </w:p>
    <w:p>
      <w:pPr>
        <w:spacing w:after="0" w:line="125"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Our loan portfolio is our largest category of earning assets, and interest income earned on our loan portfolio is our primary source of income. We maintain a diversified loan portfolio with a focus on CRE, one-to-four family residential, and commercial and industrial loans. As of March 31, 2026 and December 31, 2025, loans HFI were $2.25 billion, an increase of $5.9 million, or 0.3%. During the three months ended March 31, 2026, new loan originations and construction commitment fundings were offset by payments and payoffs. As of March 31, 2026, we had $111.8 million of unfunded construction loan commitments, which we expect to fund over time.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Loans by Category</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Loans HFI by category, loans HFI, and loans HFS are summarized below as of the dates indicated: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4"/>
          </w:tcPr>
          <w:p>
            <w:pPr>
              <w:jc w:val="center"/>
              <w:ind w:right="159"/>
              <w:spacing w:after="0"/>
              <w:rPr>
                <w:sz w:val="20"/>
                <w:szCs w:val="20"/>
                <w:color w:val="auto"/>
              </w:rPr>
            </w:pPr>
            <w:r>
              <w:rPr>
                <w:rFonts w:ascii="Arial" w:cs="Arial" w:eastAsia="Arial" w:hAnsi="Arial"/>
                <w:sz w:val="16"/>
                <w:szCs w:val="16"/>
                <w:b w:val="1"/>
                <w:bCs w:val="1"/>
                <w:color w:val="auto"/>
              </w:rPr>
              <w:t>Change from</w:t>
            </w: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4"/>
            <w:vMerge w:val="restart"/>
          </w:tcPr>
          <w:p>
            <w:pPr>
              <w:ind w:left="520"/>
              <w:spacing w:after="0"/>
              <w:rPr>
                <w:sz w:val="20"/>
                <w:szCs w:val="20"/>
                <w:color w:val="auto"/>
              </w:rPr>
            </w:pPr>
            <w:r>
              <w:rPr>
                <w:rFonts w:ascii="Arial" w:cs="Arial" w:eastAsia="Arial" w:hAnsi="Arial"/>
                <w:sz w:val="16"/>
                <w:szCs w:val="16"/>
                <w:b w:val="1"/>
                <w:bCs w:val="1"/>
                <w:color w:val="auto"/>
              </w:rPr>
              <w:t>March 31, 2026</w:t>
            </w:r>
          </w:p>
        </w:tc>
        <w:tc>
          <w:tcPr>
            <w:tcW w:w="200" w:type="dxa"/>
            <w:vAlign w:val="bottom"/>
          </w:tcPr>
          <w:p>
            <w:pPr>
              <w:spacing w:after="0"/>
              <w:rPr>
                <w:sz w:val="14"/>
                <w:szCs w:val="14"/>
                <w:color w:val="auto"/>
              </w:rPr>
            </w:pPr>
          </w:p>
        </w:tc>
        <w:tc>
          <w:tcPr>
            <w:tcW w:w="2520" w:type="dxa"/>
            <w:vAlign w:val="bottom"/>
            <w:gridSpan w:val="4"/>
            <w:vMerge w:val="restart"/>
          </w:tcPr>
          <w:p>
            <w:pPr>
              <w:ind w:left="380"/>
              <w:spacing w:after="0"/>
              <w:rPr>
                <w:sz w:val="20"/>
                <w:szCs w:val="20"/>
                <w:color w:val="auto"/>
              </w:rPr>
            </w:pPr>
            <w:r>
              <w:rPr>
                <w:rFonts w:ascii="Arial" w:cs="Arial" w:eastAsia="Arial" w:hAnsi="Arial"/>
                <w:sz w:val="16"/>
                <w:szCs w:val="16"/>
                <w:b w:val="1"/>
                <w:bCs w:val="1"/>
                <w:color w:val="auto"/>
              </w:rPr>
              <w:t>December 31, 2025</w:t>
            </w:r>
          </w:p>
        </w:tc>
        <w:tc>
          <w:tcPr>
            <w:tcW w:w="2640" w:type="dxa"/>
            <w:vAlign w:val="bottom"/>
            <w:gridSpan w:val="5"/>
          </w:tcPr>
          <w:p>
            <w:pPr>
              <w:jc w:val="center"/>
              <w:spacing w:after="0" w:line="162" w:lineRule="exact"/>
              <w:rPr>
                <w:sz w:val="20"/>
                <w:szCs w:val="20"/>
                <w:color w:val="auto"/>
              </w:rPr>
            </w:pPr>
            <w:r>
              <w:rPr>
                <w:rFonts w:ascii="Arial" w:cs="Arial" w:eastAsia="Arial" w:hAnsi="Arial"/>
                <w:sz w:val="16"/>
                <w:szCs w:val="16"/>
                <w:b w:val="1"/>
                <w:bCs w:val="1"/>
                <w:color w:val="auto"/>
              </w:rPr>
              <w:t>December 31, 2025 to March 31,</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4"/>
            <w:vMerge w:val="continue"/>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4"/>
            <w:vMerge w:val="continue"/>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center"/>
              <w:ind w:left="779"/>
              <w:spacing w:after="0"/>
              <w:rPr>
                <w:sz w:val="20"/>
                <w:szCs w:val="20"/>
                <w:color w:val="auto"/>
              </w:rPr>
            </w:pPr>
            <w:r>
              <w:rPr>
                <w:rFonts w:ascii="Arial" w:cs="Arial" w:eastAsia="Arial" w:hAnsi="Arial"/>
                <w:sz w:val="16"/>
                <w:szCs w:val="16"/>
                <w:b w:val="1"/>
                <w:bCs w:val="1"/>
                <w:color w:val="auto"/>
              </w:rPr>
              <w:t>2026</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Percent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Percent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Amount</w:t>
            </w:r>
          </w:p>
        </w:tc>
        <w:tc>
          <w:tcPr>
            <w:tcW w:w="10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96"/>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Real estate:</w:t>
            </w: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160" w:type="dxa"/>
            <w:vAlign w:val="bottom"/>
          </w:tcPr>
          <w:p>
            <w:pPr>
              <w:ind w:left="180"/>
              <w:spacing w:after="0"/>
              <w:rPr>
                <w:sz w:val="20"/>
                <w:szCs w:val="20"/>
                <w:color w:val="auto"/>
              </w:rPr>
            </w:pPr>
            <w:r>
              <w:rPr>
                <w:rFonts w:ascii="Arial" w:cs="Arial" w:eastAsia="Arial" w:hAnsi="Arial"/>
                <w:sz w:val="16"/>
                <w:szCs w:val="16"/>
                <w:color w:val="auto"/>
              </w:rPr>
              <w:t>Commercial real estate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910,965</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920,294</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(9,329)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One-to-four family residential</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632,554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628,762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5"/>
        </w:trPr>
        <w:tc>
          <w:tcPr>
            <w:tcW w:w="3160" w:type="dxa"/>
            <w:vAlign w:val="bottom"/>
          </w:tcPr>
          <w:p>
            <w:pPr>
              <w:ind w:left="180"/>
              <w:spacing w:after="0"/>
              <w:rPr>
                <w:sz w:val="20"/>
                <w:szCs w:val="20"/>
                <w:color w:val="auto"/>
              </w:rPr>
            </w:pPr>
            <w:r>
              <w:rPr>
                <w:rFonts w:ascii="Arial" w:cs="Arial" w:eastAsia="Arial" w:hAnsi="Arial"/>
                <w:sz w:val="16"/>
                <w:szCs w:val="16"/>
                <w:color w:val="auto"/>
              </w:rPr>
              <w:t>Construction and development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240,686</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221,214</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19,472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7"/>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and industrial</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391,611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392,824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5"/>
        </w:trPr>
        <w:tc>
          <w:tcPr>
            <w:tcW w:w="3160" w:type="dxa"/>
            <w:vAlign w:val="bottom"/>
          </w:tcPr>
          <w:p>
            <w:pPr>
              <w:ind w:left="20"/>
              <w:spacing w:after="0"/>
              <w:rPr>
                <w:sz w:val="20"/>
                <w:szCs w:val="20"/>
                <w:color w:val="auto"/>
              </w:rPr>
            </w:pPr>
            <w:r>
              <w:rPr>
                <w:rFonts w:ascii="Arial" w:cs="Arial" w:eastAsia="Arial" w:hAnsi="Arial"/>
                <w:sz w:val="16"/>
                <w:szCs w:val="16"/>
                <w:color w:val="auto"/>
              </w:rPr>
              <w:t>Tax-exempt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52,779</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57,541</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7"/>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25,951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28,034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0"/>
        </w:trPr>
        <w:tc>
          <w:tcPr>
            <w:tcW w:w="3160" w:type="dxa"/>
            <w:vAlign w:val="bottom"/>
          </w:tcPr>
          <w:p>
            <w:pPr>
              <w:ind w:left="180"/>
              <w:spacing w:after="0"/>
              <w:rPr>
                <w:sz w:val="20"/>
                <w:szCs w:val="20"/>
                <w:color w:val="auto"/>
              </w:rPr>
            </w:pPr>
            <w:r>
              <w:rPr>
                <w:rFonts w:ascii="Arial" w:cs="Arial" w:eastAsia="Arial" w:hAnsi="Arial"/>
                <w:sz w:val="16"/>
                <w:szCs w:val="16"/>
                <w:color w:val="auto"/>
              </w:rPr>
              <w:t>Total loans HFI</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2,254,546</w:t>
            </w:r>
          </w:p>
        </w:tc>
        <w:tc>
          <w:tcPr>
            <w:tcW w:w="1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2,248,669</w:t>
            </w:r>
          </w:p>
        </w:tc>
        <w:tc>
          <w:tcPr>
            <w:tcW w:w="8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loans HFS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3,951</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3,148</w:t>
            </w: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180"/>
              <w:spacing w:after="0" w:line="149" w:lineRule="exact"/>
              <w:rPr>
                <w:sz w:val="20"/>
                <w:szCs w:val="20"/>
                <w:color w:val="auto"/>
              </w:rPr>
            </w:pPr>
            <w:r>
              <w:rPr>
                <w:rFonts w:ascii="Arial" w:cs="Arial" w:eastAsia="Arial" w:hAnsi="Arial"/>
                <w:sz w:val="16"/>
                <w:szCs w:val="16"/>
                <w:color w:val="auto"/>
              </w:rPr>
              <w:t>Average loan HFI size, excluding credit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160" w:type="dxa"/>
            <w:vAlign w:val="bottom"/>
            <w:vMerge w:val="continue"/>
          </w:tcPr>
          <w:p>
            <w:pPr>
              <w:spacing w:after="0"/>
              <w:rPr>
                <w:sz w:val="9"/>
                <w:szCs w:val="9"/>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274</w:t>
            </w: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4"/>
        </w:trPr>
        <w:tc>
          <w:tcPr>
            <w:tcW w:w="3160" w:type="dxa"/>
            <w:vAlign w:val="bottom"/>
          </w:tcPr>
          <w:p>
            <w:pPr>
              <w:ind w:left="360"/>
              <w:spacing w:after="0"/>
              <w:rPr>
                <w:sz w:val="20"/>
                <w:szCs w:val="20"/>
                <w:color w:val="auto"/>
              </w:rPr>
            </w:pPr>
            <w:r>
              <w:rPr>
                <w:rFonts w:ascii="Arial" w:cs="Arial" w:eastAsia="Arial" w:hAnsi="Arial"/>
                <w:sz w:val="16"/>
                <w:szCs w:val="16"/>
                <w:color w:val="auto"/>
              </w:rPr>
              <w:t>cards</w:t>
            </w:r>
          </w:p>
        </w:tc>
        <w:tc>
          <w:tcPr>
            <w:tcW w:w="22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CRE loans are collateralized by owner occupied and non-owner occupied properties mainly in Louisiana. Non-owner occupied office loans were $52.1 million, or 2.3% of loans HFI, as of March 31, 2026, and $54.3 million, or 2.4% of loans HFI, as of December 31, 2025. The properties are primarily centered in low-rise suburban areas. As of March 31, 2026 and December 31, 2025, the average CRE loan size was $987,000 and $1.0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Industry Concentrations</w:t>
      </w:r>
    </w:p>
    <w:p>
      <w:pPr>
        <w:spacing w:after="0" w:line="13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Health care loans are our largest loan industry concentration and are made up of a diversified portfolio of health care providers. As of March 31, 2026, health care loans were $204.3 million, or 9.1% of loans HFI, compared to $194.3 million, or 8.6% of loans HFI, as of December 31, 2025. The average health care loan size was $436,000 as of March 31, 2026</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and $414,000 as of December 31, 2025. Within the health care sector, loans to nursing and residential care facilities were 4.4% of loans HFI as of March 31, 2026, and 4.6% as of December 31, 2025. Loans to physician and dental practices were 3.9% of loans HFI as of March 31, 2026, and 3.5% as of December 31, 2025.</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Energy loans were 1.4% of loans HFI as of March 31, 2026, and 1.2% as of December 31, 2025.</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Geographic Markets</w:t>
      </w:r>
    </w:p>
    <w:p>
      <w:pPr>
        <w:spacing w:after="0" w:line="125" w:lineRule="exact"/>
        <w:rPr>
          <w:sz w:val="20"/>
          <w:szCs w:val="20"/>
          <w:color w:val="auto"/>
        </w:rPr>
      </w:pPr>
    </w:p>
    <w:p>
      <w:pPr>
        <w:ind w:right="440"/>
        <w:spacing w:after="0" w:line="304" w:lineRule="auto"/>
        <w:rPr>
          <w:sz w:val="20"/>
          <w:szCs w:val="20"/>
          <w:color w:val="auto"/>
        </w:rPr>
      </w:pPr>
      <w:r>
        <w:rPr>
          <w:rFonts w:ascii="Arial" w:cs="Arial" w:eastAsia="Arial" w:hAnsi="Arial"/>
          <w:sz w:val="16"/>
          <w:szCs w:val="16"/>
          <w:color w:val="auto"/>
        </w:rPr>
        <w:t>As of March 31, 2026, the Bank operated in seven geographic markets throughout the state of Louisiana. The following table summarizes loans HFI by market of origin: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6"/>
                <w:szCs w:val="16"/>
                <w:b w:val="1"/>
                <w:bCs w:val="1"/>
                <w:color w:val="auto"/>
              </w:rPr>
              <w:t>March 31, 2026</w:t>
            </w:r>
          </w:p>
        </w:tc>
      </w:tr>
      <w:tr>
        <w:trPr>
          <w:trHeight w:val="210"/>
        </w:trPr>
        <w:tc>
          <w:tcPr>
            <w:tcW w:w="832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Amount</w:t>
            </w:r>
          </w:p>
        </w:tc>
        <w:tc>
          <w:tcPr>
            <w:tcW w:w="1480" w:type="dxa"/>
            <w:vAlign w:val="bottom"/>
          </w:tcPr>
          <w:p>
            <w:pPr>
              <w:jc w:val="right"/>
              <w:ind w:right="359"/>
              <w:spacing w:after="0"/>
              <w:rPr>
                <w:sz w:val="20"/>
                <w:szCs w:val="20"/>
                <w:color w:val="auto"/>
              </w:rPr>
            </w:pPr>
            <w:r>
              <w:rPr>
                <w:rFonts w:ascii="Arial" w:cs="Arial" w:eastAsia="Arial" w:hAnsi="Arial"/>
                <w:sz w:val="16"/>
                <w:szCs w:val="16"/>
                <w:b w:val="1"/>
                <w:bCs w:val="1"/>
                <w:color w:val="auto"/>
              </w:rPr>
              <w:t>Percent</w:t>
            </w:r>
          </w:p>
        </w:tc>
      </w:tr>
      <w:tr>
        <w:trPr>
          <w:trHeight w:val="209"/>
        </w:trPr>
        <w:tc>
          <w:tcPr>
            <w:tcW w:w="8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Central</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606,345</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r>
      <w:tr>
        <w:trPr>
          <w:trHeight w:val="215"/>
        </w:trPr>
        <w:tc>
          <w:tcPr>
            <w:tcW w:w="8320" w:type="dxa"/>
            <w:vAlign w:val="bottom"/>
          </w:tcPr>
          <w:p>
            <w:pPr>
              <w:ind w:left="20"/>
              <w:spacing w:after="0"/>
              <w:rPr>
                <w:sz w:val="20"/>
                <w:szCs w:val="20"/>
                <w:color w:val="auto"/>
              </w:rPr>
            </w:pPr>
            <w:r>
              <w:rPr>
                <w:rFonts w:ascii="Arial" w:cs="Arial" w:eastAsia="Arial" w:hAnsi="Arial"/>
                <w:sz w:val="16"/>
                <w:szCs w:val="16"/>
                <w:color w:val="auto"/>
              </w:rPr>
              <w:t>Capital</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595,566</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26.4%</w:t>
            </w:r>
          </w:p>
        </w:tc>
      </w:tr>
      <w:tr>
        <w:trPr>
          <w:trHeight w:val="217"/>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Northwest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339,368</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15"/>
        </w:trPr>
        <w:tc>
          <w:tcPr>
            <w:tcW w:w="8320" w:type="dxa"/>
            <w:vAlign w:val="bottom"/>
          </w:tcPr>
          <w:p>
            <w:pPr>
              <w:ind w:left="20"/>
              <w:spacing w:after="0"/>
              <w:rPr>
                <w:sz w:val="20"/>
                <w:szCs w:val="20"/>
                <w:color w:val="auto"/>
              </w:rPr>
            </w:pPr>
            <w:r>
              <w:rPr>
                <w:rFonts w:ascii="Arial" w:cs="Arial" w:eastAsia="Arial" w:hAnsi="Arial"/>
                <w:sz w:val="16"/>
                <w:szCs w:val="16"/>
                <w:color w:val="auto"/>
              </w:rPr>
              <w:t>New Orleans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232,747</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17"/>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Southwest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182,357</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15"/>
        </w:trPr>
        <w:tc>
          <w:tcPr>
            <w:tcW w:w="8320" w:type="dxa"/>
            <w:vAlign w:val="bottom"/>
          </w:tcPr>
          <w:p>
            <w:pPr>
              <w:ind w:left="40"/>
              <w:spacing w:after="0"/>
              <w:rPr>
                <w:sz w:val="20"/>
                <w:szCs w:val="20"/>
                <w:color w:val="auto"/>
              </w:rPr>
            </w:pPr>
            <w:r>
              <w:rPr>
                <w:rFonts w:ascii="Arial" w:cs="Arial" w:eastAsia="Arial" w:hAnsi="Arial"/>
                <w:sz w:val="16"/>
                <w:szCs w:val="16"/>
                <w:color w:val="auto"/>
              </w:rPr>
              <w:t>Northshore</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158,943</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Acadiana</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139,220</w:t>
            </w:r>
          </w:p>
        </w:tc>
        <w:tc>
          <w:tcPr>
            <w:tcW w:w="10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10"/>
        </w:trPr>
        <w:tc>
          <w:tcPr>
            <w:tcW w:w="8320" w:type="dxa"/>
            <w:vAlign w:val="bottom"/>
          </w:tcPr>
          <w:p>
            <w:pPr>
              <w:ind w:left="140"/>
              <w:spacing w:after="0"/>
              <w:rPr>
                <w:sz w:val="20"/>
                <w:szCs w:val="20"/>
                <w:color w:val="auto"/>
              </w:rPr>
            </w:pPr>
            <w:r>
              <w:rPr>
                <w:rFonts w:ascii="Arial" w:cs="Arial" w:eastAsia="Arial" w:hAnsi="Arial"/>
                <w:sz w:val="16"/>
                <w:szCs w:val="16"/>
                <w:color w:val="auto"/>
              </w:rPr>
              <w:t>Total loans HFI</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2,254,546</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Nonperforming Assets</w:t>
      </w:r>
    </w:p>
    <w:p>
      <w:pPr>
        <w:spacing w:after="0" w:line="138"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NPAs consist of nonperforming loans and property acquired through foreclosures or repossession. Nonperforming loans include loans that are contractually past due 90 days or more and loans that are on nonaccrual status. Loans are considered past due when principal and interest payments have not been received as of the date such payments are due.</w:t>
      </w:r>
    </w:p>
    <w:p>
      <w:pPr>
        <w:spacing w:after="0" w:line="70"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Asset quality is managed through disciplined underwriting policies, continual monitoring of loan performance, and focused management of NPAs. There can be no assurance, however, that the loan portfolio will not become subject to losses due to declines in economic conditions, deterioration in the financial condition of our borrowers, or a decline in the value of collateral.</w:t>
      </w:r>
    </w:p>
    <w:p>
      <w:pPr>
        <w:spacing w:after="0" w:line="83"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NPAs totaled $4.3 million as of March 31, 2026, an increase of $728,000, or 20.6%, from December 31, 2025, primarily due to an increase in nonaccrual loans and other real estate owned, partially offset by a decrease in past due loans. The ratio of NPAs to assets was 0.13% and 0.11% as of March 31, 2026 and December 31, 2025, respectively.</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Pr>
          <w:p>
            <w:pPr>
              <w:spacing w:after="0"/>
              <w:rPr>
                <w:sz w:val="20"/>
                <w:szCs w:val="20"/>
                <w:color w:val="auto"/>
              </w:rPr>
            </w:pPr>
            <w:r>
              <w:rPr>
                <w:rFonts w:ascii="Arial" w:cs="Arial" w:eastAsia="Arial" w:hAnsi="Arial"/>
                <w:sz w:val="16"/>
                <w:szCs w:val="16"/>
                <w:color w:val="auto"/>
              </w:rPr>
              <w:t>Nonperforming loan and asset information is summarized below:</w:t>
            </w: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26"/>
        </w:trPr>
        <w:tc>
          <w:tcPr>
            <w:tcW w:w="644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60" w:type="dxa"/>
            <w:vAlign w:val="bottom"/>
          </w:tcPr>
          <w:p>
            <w:pPr>
              <w:spacing w:after="0"/>
              <w:rPr>
                <w:sz w:val="24"/>
                <w:szCs w:val="24"/>
                <w:color w:val="auto"/>
              </w:rPr>
            </w:pPr>
          </w:p>
        </w:tc>
        <w:tc>
          <w:tcPr>
            <w:tcW w:w="208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 2026</w:t>
            </w:r>
          </w:p>
        </w:tc>
        <w:tc>
          <w:tcPr>
            <w:tcW w:w="280" w:type="dxa"/>
            <w:vAlign w:val="bottom"/>
          </w:tcPr>
          <w:p>
            <w:pPr>
              <w:spacing w:after="0"/>
              <w:rPr>
                <w:sz w:val="24"/>
                <w:szCs w:val="24"/>
                <w:color w:val="auto"/>
              </w:rPr>
            </w:pPr>
          </w:p>
        </w:tc>
        <w:tc>
          <w:tcPr>
            <w:tcW w:w="206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2025</w:t>
            </w:r>
          </w:p>
        </w:tc>
      </w:tr>
      <w:tr>
        <w:trPr>
          <w:trHeight w:val="196"/>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Nonperforming loans:</w:t>
            </w:r>
          </w:p>
        </w:tc>
        <w:tc>
          <w:tcPr>
            <w:tcW w:w="36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r>
      <w:tr>
        <w:trPr>
          <w:trHeight w:val="215"/>
        </w:trPr>
        <w:tc>
          <w:tcPr>
            <w:tcW w:w="6440" w:type="dxa"/>
            <w:vAlign w:val="bottom"/>
          </w:tcPr>
          <w:p>
            <w:pPr>
              <w:ind w:left="260"/>
              <w:spacing w:after="0"/>
              <w:rPr>
                <w:sz w:val="20"/>
                <w:szCs w:val="20"/>
                <w:color w:val="auto"/>
              </w:rPr>
            </w:pPr>
            <w:r>
              <w:rPr>
                <w:rFonts w:ascii="Arial" w:cs="Arial" w:eastAsia="Arial" w:hAnsi="Arial"/>
                <w:sz w:val="16"/>
                <w:szCs w:val="16"/>
                <w:color w:val="auto"/>
              </w:rPr>
              <w:t>Nonaccrual loans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4,033</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2060" w:type="dxa"/>
            <w:vAlign w:val="bottom"/>
          </w:tcPr>
          <w:p>
            <w:pPr>
              <w:jc w:val="right"/>
              <w:ind w:right="139"/>
              <w:spacing w:after="0"/>
              <w:rPr>
                <w:sz w:val="20"/>
                <w:szCs w:val="20"/>
                <w:color w:val="auto"/>
              </w:rPr>
            </w:pPr>
            <w:r>
              <w:rPr>
                <w:rFonts w:ascii="Arial" w:cs="Arial" w:eastAsia="Arial" w:hAnsi="Arial"/>
                <w:sz w:val="16"/>
                <w:szCs w:val="16"/>
                <w:color w:val="auto"/>
              </w:rPr>
              <w:t>3,281</w:t>
            </w:r>
          </w:p>
        </w:tc>
      </w:tr>
      <w:tr>
        <w:trPr>
          <w:trHeight w:val="217"/>
        </w:trPr>
        <w:tc>
          <w:tcPr>
            <w:tcW w:w="6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Accruing loans 90 or more days past due</w:t>
            </w:r>
          </w:p>
        </w:tc>
        <w:tc>
          <w:tcPr>
            <w:tcW w:w="36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219</w:t>
            </w:r>
          </w:p>
        </w:tc>
      </w:tr>
      <w:tr>
        <w:trPr>
          <w:trHeight w:val="20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nonperforming loans</w:t>
            </w:r>
          </w:p>
        </w:tc>
        <w:tc>
          <w:tcPr>
            <w:tcW w:w="3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4,059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3,500</w:t>
            </w:r>
          </w:p>
        </w:tc>
      </w:tr>
      <w:tr>
        <w:trPr>
          <w:trHeight w:val="197"/>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Foreclosed assets:</w:t>
            </w:r>
          </w:p>
        </w:tc>
        <w:tc>
          <w:tcPr>
            <w:tcW w:w="3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r>
      <w:tr>
        <w:trPr>
          <w:trHeight w:val="215"/>
        </w:trPr>
        <w:tc>
          <w:tcPr>
            <w:tcW w:w="64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Real estate</w:t>
            </w:r>
          </w:p>
        </w:tc>
        <w:tc>
          <w:tcPr>
            <w:tcW w:w="3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36</w:t>
            </w:r>
          </w:p>
        </w:tc>
      </w:tr>
      <w:tr>
        <w:trPr>
          <w:trHeight w:val="210"/>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foreclosed assets</w:t>
            </w:r>
          </w:p>
        </w:tc>
        <w:tc>
          <w:tcPr>
            <w:tcW w:w="36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36</w:t>
            </w:r>
          </w:p>
        </w:tc>
      </w:tr>
      <w:tr>
        <w:trPr>
          <w:trHeight w:val="183"/>
        </w:trPr>
        <w:tc>
          <w:tcPr>
            <w:tcW w:w="6440" w:type="dxa"/>
            <w:vAlign w:val="bottom"/>
          </w:tcPr>
          <w:p>
            <w:pPr>
              <w:ind w:left="20"/>
              <w:spacing w:after="0" w:line="183" w:lineRule="exact"/>
              <w:rPr>
                <w:sz w:val="20"/>
                <w:szCs w:val="20"/>
                <w:color w:val="auto"/>
              </w:rPr>
            </w:pPr>
            <w:r>
              <w:rPr>
                <w:rFonts w:ascii="Arial" w:cs="Arial" w:eastAsia="Arial" w:hAnsi="Arial"/>
                <w:sz w:val="16"/>
                <w:szCs w:val="16"/>
                <w:color w:val="auto"/>
              </w:rPr>
              <w:t>Total NPAs</w:t>
            </w:r>
          </w:p>
        </w:tc>
        <w:tc>
          <w:tcPr>
            <w:tcW w:w="36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4,264</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3,536</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223"/>
        </w:trPr>
        <w:tc>
          <w:tcPr>
            <w:tcW w:w="6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r>
      <w:tr>
        <w:trPr>
          <w:trHeight w:val="215"/>
        </w:trPr>
        <w:tc>
          <w:tcPr>
            <w:tcW w:w="6440" w:type="dxa"/>
            <w:vAlign w:val="bottom"/>
          </w:tcPr>
          <w:p>
            <w:pPr>
              <w:ind w:left="20"/>
              <w:spacing w:after="0"/>
              <w:rPr>
                <w:sz w:val="20"/>
                <w:szCs w:val="20"/>
                <w:color w:val="auto"/>
              </w:rPr>
            </w:pPr>
            <w:r>
              <w:rPr>
                <w:rFonts w:ascii="Arial" w:cs="Arial" w:eastAsia="Arial" w:hAnsi="Arial"/>
                <w:sz w:val="16"/>
                <w:szCs w:val="16"/>
                <w:color w:val="auto"/>
              </w:rPr>
              <w:t>Nonaccrual loans to loans HFI</w:t>
            </w:r>
          </w:p>
        </w:tc>
        <w:tc>
          <w:tcPr>
            <w:tcW w:w="3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0.15%</w:t>
            </w:r>
          </w:p>
        </w:tc>
      </w:tr>
      <w:tr>
        <w:trPr>
          <w:trHeight w:val="217"/>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Nonperforming loans to loans HFI</w:t>
            </w:r>
          </w:p>
        </w:tc>
        <w:tc>
          <w:tcPr>
            <w:tcW w:w="3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r>
      <w:tr>
        <w:trPr>
          <w:trHeight w:val="215"/>
        </w:trPr>
        <w:tc>
          <w:tcPr>
            <w:tcW w:w="6440" w:type="dxa"/>
            <w:vAlign w:val="bottom"/>
          </w:tcPr>
          <w:p>
            <w:pPr>
              <w:ind w:left="20"/>
              <w:spacing w:after="0"/>
              <w:rPr>
                <w:sz w:val="20"/>
                <w:szCs w:val="20"/>
                <w:color w:val="auto"/>
              </w:rPr>
            </w:pPr>
            <w:r>
              <w:rPr>
                <w:rFonts w:ascii="Arial" w:cs="Arial" w:eastAsia="Arial" w:hAnsi="Arial"/>
                <w:sz w:val="16"/>
                <w:szCs w:val="16"/>
                <w:color w:val="auto"/>
              </w:rPr>
              <w:t>NPAs to assets</w:t>
            </w:r>
          </w:p>
        </w:tc>
        <w:tc>
          <w:tcPr>
            <w:tcW w:w="3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0.11%</w:t>
            </w: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20" w:type="dxa"/>
            <w:vAlign w:val="bottom"/>
          </w:tcPr>
          <w:p>
            <w:pPr>
              <w:spacing w:after="0"/>
              <w:rPr>
                <w:sz w:val="20"/>
                <w:szCs w:val="20"/>
                <w:color w:val="auto"/>
              </w:rPr>
            </w:pPr>
            <w:r>
              <w:rPr>
                <w:rFonts w:ascii="Arial" w:cs="Arial" w:eastAsia="Arial" w:hAnsi="Arial"/>
                <w:sz w:val="16"/>
                <w:szCs w:val="16"/>
                <w:color w:val="auto"/>
              </w:rPr>
              <w:t>Nonaccrual loans are summarized below by category:</w:t>
            </w: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326"/>
        </w:trPr>
        <w:tc>
          <w:tcPr>
            <w:tcW w:w="66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24"/>
                <w:szCs w:val="24"/>
                <w:color w:val="auto"/>
              </w:rPr>
            </w:pPr>
          </w:p>
        </w:tc>
        <w:tc>
          <w:tcPr>
            <w:tcW w:w="2040" w:type="dxa"/>
            <w:vAlign w:val="bottom"/>
            <w:gridSpan w:val="2"/>
          </w:tcPr>
          <w:p>
            <w:pPr>
              <w:ind w:left="220"/>
              <w:spacing w:after="0"/>
              <w:rPr>
                <w:sz w:val="20"/>
                <w:szCs w:val="20"/>
                <w:color w:val="auto"/>
              </w:rPr>
            </w:pPr>
            <w:r>
              <w:rPr>
                <w:rFonts w:ascii="Arial" w:cs="Arial" w:eastAsia="Arial" w:hAnsi="Arial"/>
                <w:sz w:val="16"/>
                <w:szCs w:val="16"/>
                <w:b w:val="1"/>
                <w:bCs w:val="1"/>
                <w:color w:val="auto"/>
              </w:rPr>
              <w:t>March 31, 2026</w:t>
            </w:r>
          </w:p>
        </w:tc>
        <w:tc>
          <w:tcPr>
            <w:tcW w:w="240" w:type="dxa"/>
            <w:vAlign w:val="bottom"/>
          </w:tcPr>
          <w:p>
            <w:pPr>
              <w:spacing w:after="0"/>
              <w:rPr>
                <w:sz w:val="24"/>
                <w:szCs w:val="24"/>
                <w:color w:val="auto"/>
              </w:rPr>
            </w:pPr>
          </w:p>
        </w:tc>
        <w:tc>
          <w:tcPr>
            <w:tcW w:w="2000" w:type="dxa"/>
            <w:vAlign w:val="bottom"/>
          </w:tcPr>
          <w:p>
            <w:pPr>
              <w:jc w:val="right"/>
              <w:ind w:right="319"/>
              <w:spacing w:after="0"/>
              <w:rPr>
                <w:sz w:val="20"/>
                <w:szCs w:val="20"/>
                <w:color w:val="auto"/>
              </w:rPr>
            </w:pPr>
            <w:r>
              <w:rPr>
                <w:rFonts w:ascii="Arial" w:cs="Arial" w:eastAsia="Arial" w:hAnsi="Arial"/>
                <w:sz w:val="16"/>
                <w:szCs w:val="16"/>
                <w:b w:val="1"/>
                <w:bCs w:val="1"/>
                <w:color w:val="auto"/>
              </w:rPr>
              <w:t>December 31, 2025</w:t>
            </w:r>
          </w:p>
        </w:tc>
      </w:tr>
      <w:tr>
        <w:trPr>
          <w:trHeight w:val="196"/>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Real estate:</w:t>
            </w:r>
          </w:p>
        </w:tc>
        <w:tc>
          <w:tcPr>
            <w:tcW w:w="320" w:type="dxa"/>
            <w:vAlign w:val="bottom"/>
            <w:tcBorders>
              <w:top w:val="single" w:sz="8" w:color="auto"/>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r>
      <w:tr>
        <w:trPr>
          <w:trHeight w:val="215"/>
        </w:trPr>
        <w:tc>
          <w:tcPr>
            <w:tcW w:w="6620" w:type="dxa"/>
            <w:vAlign w:val="bottom"/>
          </w:tcPr>
          <w:p>
            <w:pPr>
              <w:ind w:left="260"/>
              <w:spacing w:after="0"/>
              <w:rPr>
                <w:sz w:val="20"/>
                <w:szCs w:val="20"/>
                <w:color w:val="auto"/>
              </w:rPr>
            </w:pPr>
            <w:r>
              <w:rPr>
                <w:rFonts w:ascii="Arial" w:cs="Arial" w:eastAsia="Arial" w:hAnsi="Arial"/>
                <w:sz w:val="16"/>
                <w:szCs w:val="16"/>
                <w:color w:val="auto"/>
              </w:rPr>
              <w:t>Commercial real estate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837</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2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One-to-four family residential</w:t>
            </w: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w:t>
            </w:r>
          </w:p>
        </w:tc>
      </w:tr>
      <w:tr>
        <w:trPr>
          <w:trHeight w:val="215"/>
        </w:trPr>
        <w:tc>
          <w:tcPr>
            <w:tcW w:w="6620" w:type="dxa"/>
            <w:vAlign w:val="bottom"/>
          </w:tcPr>
          <w:p>
            <w:pPr>
              <w:ind w:left="260"/>
              <w:spacing w:after="0"/>
              <w:rPr>
                <w:sz w:val="20"/>
                <w:szCs w:val="20"/>
                <w:color w:val="auto"/>
              </w:rPr>
            </w:pPr>
            <w:r>
              <w:rPr>
                <w:rFonts w:ascii="Arial" w:cs="Arial" w:eastAsia="Arial" w:hAnsi="Arial"/>
                <w:sz w:val="16"/>
                <w:szCs w:val="16"/>
                <w:color w:val="auto"/>
              </w:rPr>
              <w:t>Construction and development</w:t>
            </w:r>
          </w:p>
        </w:tc>
        <w:tc>
          <w:tcPr>
            <w:tcW w:w="3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1,055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1,189</w:t>
            </w:r>
          </w:p>
        </w:tc>
      </w:tr>
      <w:tr>
        <w:trPr>
          <w:trHeight w:val="217"/>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and industrial</w:t>
            </w: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5"/>
        </w:trPr>
        <w:tc>
          <w:tcPr>
            <w:tcW w:w="6620" w:type="dxa"/>
            <w:vAlign w:val="bottom"/>
          </w:tcPr>
          <w:p>
            <w:pPr>
              <w:ind w:left="20"/>
              <w:spacing w:after="0"/>
              <w:rPr>
                <w:sz w:val="20"/>
                <w:szCs w:val="20"/>
                <w:color w:val="auto"/>
              </w:rPr>
            </w:pPr>
            <w:r>
              <w:rPr>
                <w:rFonts w:ascii="Arial" w:cs="Arial" w:eastAsia="Arial" w:hAnsi="Arial"/>
                <w:sz w:val="16"/>
                <w:szCs w:val="16"/>
                <w:color w:val="auto"/>
              </w:rPr>
              <w:t>Tax-exempt</w:t>
            </w:r>
          </w:p>
        </w:tc>
        <w:tc>
          <w:tcPr>
            <w:tcW w:w="320" w:type="dxa"/>
            <w:vAlign w:val="bottom"/>
          </w:tcPr>
          <w:p>
            <w:pPr>
              <w:spacing w:after="0"/>
              <w:rPr>
                <w:sz w:val="18"/>
                <w:szCs w:val="18"/>
                <w:color w:val="auto"/>
              </w:rPr>
            </w:pPr>
          </w:p>
        </w:tc>
        <w:tc>
          <w:tcPr>
            <w:tcW w:w="2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3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09"/>
        </w:trPr>
        <w:tc>
          <w:tcPr>
            <w:tcW w:w="6620" w:type="dxa"/>
            <w:vAlign w:val="bottom"/>
          </w:tcPr>
          <w:p>
            <w:pPr>
              <w:ind w:left="140"/>
              <w:spacing w:after="0"/>
              <w:rPr>
                <w:sz w:val="20"/>
                <w:szCs w:val="20"/>
                <w:color w:val="auto"/>
              </w:rPr>
            </w:pPr>
            <w:r>
              <w:rPr>
                <w:rFonts w:ascii="Arial" w:cs="Arial" w:eastAsia="Arial" w:hAnsi="Arial"/>
                <w:sz w:val="16"/>
                <w:szCs w:val="16"/>
                <w:color w:val="auto"/>
              </w:rPr>
              <w:t>Total nonaccrual loans</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4,033</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3,281</w:t>
            </w:r>
          </w:p>
        </w:tc>
      </w:tr>
      <w:tr>
        <w:trPr>
          <w:trHeight w:val="21"/>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Potential Problem Loans</w:t>
      </w:r>
    </w:p>
    <w:p>
      <w:pPr>
        <w:spacing w:after="0" w:line="138" w:lineRule="exact"/>
        <w:rPr>
          <w:sz w:val="20"/>
          <w:szCs w:val="20"/>
          <w:color w:val="auto"/>
        </w:rPr>
      </w:pPr>
    </w:p>
    <w:p>
      <w:pPr>
        <w:jc w:val="both"/>
        <w:ind w:right="120"/>
        <w:spacing w:after="0" w:line="265" w:lineRule="auto"/>
        <w:rPr>
          <w:sz w:val="20"/>
          <w:szCs w:val="20"/>
          <w:color w:val="auto"/>
        </w:rPr>
      </w:pPr>
      <w:r>
        <w:rPr>
          <w:rFonts w:ascii="Arial" w:cs="Arial" w:eastAsia="Arial" w:hAnsi="Arial"/>
          <w:sz w:val="16"/>
          <w:szCs w:val="16"/>
          <w:color w:val="auto"/>
        </w:rPr>
        <w:t>From a credit risk standpoint, we classify loans in one of five categories: pass, special mention, substandard, doubtful, or loss. Loan classifications reflect a judgment about the risk of default and loss associated with the loans. Classifications are reviewed periodically and adjusted to reflect the degree of risk and loss believed to be inherent in each loan. The methodology is structured so that reserve allocations are increased in accordance with deterioration in credit quality (and a corresponding increase in risk and loss) or decreased in accordance with improvement in credit quality (and a corresponding decrease in risk and loss).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Loans classified as pass are of satisfactory quality and do not require a more severe classification.</w:t>
      </w:r>
    </w:p>
    <w:p>
      <w:pPr>
        <w:spacing w:after="0" w:line="140"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color w:val="auto"/>
        </w:rPr>
        <w:t>Loans classified as special mention have potential weaknesses that deserve management’s close attention. If these weaknesses are not corrected, repayment possibilities for the loan may deteriorate. However, the loss potential does not warrant substandard classification.</w:t>
      </w:r>
    </w:p>
    <w:p>
      <w:pPr>
        <w:spacing w:after="0" w:line="75" w:lineRule="exact"/>
        <w:rPr>
          <w:sz w:val="20"/>
          <w:szCs w:val="20"/>
          <w:color w:val="auto"/>
        </w:rPr>
      </w:pPr>
    </w:p>
    <w:p>
      <w:pPr>
        <w:jc w:val="both"/>
        <w:ind w:right="460"/>
        <w:spacing w:after="0" w:line="304" w:lineRule="auto"/>
        <w:rPr>
          <w:sz w:val="20"/>
          <w:szCs w:val="20"/>
          <w:color w:val="auto"/>
        </w:rPr>
      </w:pPr>
      <w:r>
        <w:rPr>
          <w:rFonts w:ascii="Arial" w:cs="Arial" w:eastAsia="Arial" w:hAnsi="Arial"/>
          <w:sz w:val="16"/>
          <w:szCs w:val="16"/>
          <w:color w:val="auto"/>
        </w:rPr>
        <w:t>Loans classified as substandard have well-defined weaknesses that jeopardize normal repayment of principal and interest. Prompt corrective action is required to reduce exposure and to assure adequate remedial actions are taken by the borrower. If these weaknesses do not improve, loss is possible.</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Loans classified as doubtful have well-defined weaknesses that make full collection improbable.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Loans classified as loss are considered uncollectible and charged-off to the ACL.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20"/>
                <w:szCs w:val="20"/>
                <w:color w:val="auto"/>
              </w:rPr>
            </w:pPr>
            <w:r>
              <w:rPr>
                <w:rFonts w:ascii="Arial" w:cs="Arial" w:eastAsia="Arial" w:hAnsi="Arial"/>
                <w:sz w:val="16"/>
                <w:szCs w:val="16"/>
                <w:color w:val="auto"/>
              </w:rPr>
              <w:t>The following table summarizes loans HFI by risk rating:</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53"/>
        </w:trPr>
        <w:tc>
          <w:tcPr>
            <w:tcW w:w="5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4"/>
          </w:tcPr>
          <w:p>
            <w:pPr>
              <w:ind w:left="500"/>
              <w:spacing w:after="0"/>
              <w:rPr>
                <w:sz w:val="20"/>
                <w:szCs w:val="20"/>
                <w:color w:val="auto"/>
              </w:rPr>
            </w:pPr>
            <w:r>
              <w:rPr>
                <w:rFonts w:ascii="Arial" w:cs="Arial" w:eastAsia="Arial" w:hAnsi="Arial"/>
                <w:sz w:val="16"/>
                <w:szCs w:val="16"/>
                <w:b w:val="1"/>
                <w:bCs w:val="1"/>
                <w:color w:val="auto"/>
              </w:rPr>
              <w:t>March 31, 2026</w:t>
            </w:r>
          </w:p>
        </w:tc>
        <w:tc>
          <w:tcPr>
            <w:tcW w:w="280" w:type="dxa"/>
            <w:vAlign w:val="bottom"/>
          </w:tcPr>
          <w:p>
            <w:pPr>
              <w:spacing w:after="0"/>
              <w:rPr>
                <w:sz w:val="24"/>
                <w:szCs w:val="24"/>
                <w:color w:val="auto"/>
              </w:rPr>
            </w:pPr>
          </w:p>
        </w:tc>
        <w:tc>
          <w:tcPr>
            <w:tcW w:w="256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rPr>
              <w:t>December 31, 2025</w:t>
            </w:r>
          </w:p>
        </w:tc>
      </w:tr>
      <w:tr>
        <w:trPr>
          <w:trHeight w:val="210"/>
        </w:trPr>
        <w:tc>
          <w:tcPr>
            <w:tcW w:w="556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Amount</w:t>
            </w: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Percent</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Amount</w:t>
            </w:r>
          </w:p>
        </w:tc>
        <w:tc>
          <w:tcPr>
            <w:tcW w:w="12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Percent</w:t>
            </w:r>
          </w:p>
        </w:tc>
      </w:tr>
      <w:tr>
        <w:trPr>
          <w:trHeight w:val="210"/>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Pass</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2,220,622</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2,232,362</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w:t>
            </w:r>
          </w:p>
        </w:tc>
      </w:tr>
      <w:tr>
        <w:trPr>
          <w:trHeight w:val="215"/>
        </w:trPr>
        <w:tc>
          <w:tcPr>
            <w:tcW w:w="5560" w:type="dxa"/>
            <w:vAlign w:val="bottom"/>
          </w:tcPr>
          <w:p>
            <w:pPr>
              <w:ind w:left="20"/>
              <w:spacing w:after="0"/>
              <w:rPr>
                <w:sz w:val="20"/>
                <w:szCs w:val="20"/>
                <w:color w:val="auto"/>
              </w:rPr>
            </w:pPr>
            <w:r>
              <w:rPr>
                <w:rFonts w:ascii="Arial" w:cs="Arial" w:eastAsia="Arial" w:hAnsi="Arial"/>
                <w:sz w:val="16"/>
                <w:szCs w:val="16"/>
                <w:color w:val="auto"/>
              </w:rPr>
              <w:t>Special Mention</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22,451</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4,689</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Substandard</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11,473</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11,618</w:t>
            </w:r>
          </w:p>
        </w:tc>
        <w:tc>
          <w:tcPr>
            <w:tcW w:w="8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0"/>
        </w:trPr>
        <w:tc>
          <w:tcPr>
            <w:tcW w:w="5560" w:type="dxa"/>
            <w:vAlign w:val="bottom"/>
          </w:tcPr>
          <w:p>
            <w:pPr>
              <w:ind w:left="140"/>
              <w:spacing w:after="0"/>
              <w:rPr>
                <w:sz w:val="20"/>
                <w:szCs w:val="20"/>
                <w:color w:val="auto"/>
              </w:rPr>
            </w:pPr>
            <w:r>
              <w:rPr>
                <w:rFonts w:ascii="Arial" w:cs="Arial" w:eastAsia="Arial" w:hAnsi="Arial"/>
                <w:sz w:val="16"/>
                <w:szCs w:val="16"/>
                <w:color w:val="auto"/>
              </w:rPr>
              <w:t>Total loans HFI</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2,254,546</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2,248,669</w:t>
            </w:r>
          </w:p>
        </w:tc>
        <w:tc>
          <w:tcPr>
            <w:tcW w:w="8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5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There were no loans as of March 31, 2026 or December 31, 2025, classified as doubtful or loss.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Allowance for Credit Losses</w:t>
      </w:r>
    </w:p>
    <w:p>
      <w:pPr>
        <w:spacing w:after="0" w:line="138"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In determining the ACL for loans HFI, we estimate losses on a collective pool basis when similar risk characteristics and risk profiles exist. Loans that do not share similar risk characteristics are evaluated individually and excluded from the collective evaluation. The ACL is determined using relevant available information, from internal and external sources, relating to past events, current conditions, and reasonable and supportable forecasts.</w:t>
      </w:r>
    </w:p>
    <w:p>
      <w:pPr>
        <w:spacing w:after="0" w:line="70" w:lineRule="exact"/>
        <w:rPr>
          <w:sz w:val="20"/>
          <w:szCs w:val="20"/>
          <w:color w:val="auto"/>
        </w:rPr>
      </w:pPr>
    </w:p>
    <w:p>
      <w:pPr>
        <w:jc w:val="both"/>
        <w:ind w:right="200"/>
        <w:spacing w:after="0" w:line="275" w:lineRule="auto"/>
        <w:rPr>
          <w:sz w:val="20"/>
          <w:szCs w:val="20"/>
          <w:color w:val="auto"/>
        </w:rPr>
      </w:pPr>
      <w:r>
        <w:rPr>
          <w:rFonts w:ascii="Arial" w:cs="Arial" w:eastAsia="Arial" w:hAnsi="Arial"/>
          <w:sz w:val="16"/>
          <w:szCs w:val="16"/>
          <w:color w:val="auto"/>
        </w:rPr>
        <w:t>As of March 31, 2026, the ACL was $24.1 million, or 1.07% of loans HFI. As of December 31, 2025, the ACL totaled $23.4 million, or 1.04% of loans HFI. The $652,000 increase in the ACL for the three months ended March 31, 2026, was due to $750,000 from the provision for credit losses on loans, partially offset by $98,000 of net charge-offs.</w:t>
      </w:r>
    </w:p>
    <w:p>
      <w:pPr>
        <w:spacing w:after="0" w:line="83"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provision for credit losses on loans for the three months ended March 31, 2026, was $750,000, an increase of $300,000, or 66.7%, from $450,000 for the three months ended March 31, 2025. The increase in the first quarter of 2026 was due to continued loan growth, lingering impacts related to inflation and tariffs, geopolitical uncertainty, and greater uncertainty with future labor market trends. The provision in the first quarter of 2025 was related to loan growth, combined with uncertainty regarding tariffs and trade. We will continue to evaluate future provision needs in relation to current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economic situations, loan growth, trends in asset quality, forecasted information, and other conditions influencing loss expectations.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activity in the ACL for March 31, 2026, and March 31, 2025: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As of and For the Three Months Ended</w:t>
            </w:r>
          </w:p>
        </w:tc>
        <w:tc>
          <w:tcPr>
            <w:tcW w:w="0" w:type="dxa"/>
            <w:vAlign w:val="bottom"/>
          </w:tcPr>
          <w:p>
            <w:pPr>
              <w:spacing w:after="0"/>
              <w:rPr>
                <w:sz w:val="1"/>
                <w:szCs w:val="1"/>
                <w:color w:val="auto"/>
              </w:rPr>
            </w:pPr>
          </w:p>
        </w:tc>
      </w:tr>
      <w:tr>
        <w:trPr>
          <w:trHeight w:val="155"/>
        </w:trPr>
        <w:tc>
          <w:tcPr>
            <w:tcW w:w="77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3"/>
                <w:szCs w:val="13"/>
                <w:color w:val="auto"/>
              </w:rPr>
            </w:pPr>
          </w:p>
        </w:tc>
        <w:tc>
          <w:tcPr>
            <w:tcW w:w="1620" w:type="dxa"/>
            <w:vAlign w:val="bottom"/>
            <w:gridSpan w:val="2"/>
          </w:tcPr>
          <w:p>
            <w:pPr>
              <w:ind w:left="280"/>
              <w:spacing w:after="0" w:line="155" w:lineRule="exact"/>
              <w:rPr>
                <w:sz w:val="20"/>
                <w:szCs w:val="20"/>
                <w:color w:val="auto"/>
              </w:rPr>
            </w:pPr>
            <w:r>
              <w:rPr>
                <w:rFonts w:ascii="Arial" w:cs="Arial" w:eastAsia="Arial" w:hAnsi="Arial"/>
                <w:sz w:val="16"/>
                <w:szCs w:val="16"/>
                <w:b w:val="1"/>
                <w:bCs w:val="1"/>
                <w:color w:val="auto"/>
              </w:rPr>
              <w:t>March 31,</w:t>
            </w:r>
          </w:p>
        </w:tc>
        <w:tc>
          <w:tcPr>
            <w:tcW w:w="300" w:type="dxa"/>
            <w:vAlign w:val="bottom"/>
          </w:tcPr>
          <w:p>
            <w:pPr>
              <w:spacing w:after="0"/>
              <w:rPr>
                <w:sz w:val="13"/>
                <w:szCs w:val="13"/>
                <w:color w:val="auto"/>
              </w:rPr>
            </w:pPr>
          </w:p>
        </w:tc>
        <w:tc>
          <w:tcPr>
            <w:tcW w:w="1400" w:type="dxa"/>
            <w:vAlign w:val="bottom"/>
          </w:tcPr>
          <w:p>
            <w:pPr>
              <w:jc w:val="right"/>
              <w:ind w:right="399"/>
              <w:spacing w:after="0" w:line="155" w:lineRule="exact"/>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6"/>
        </w:trPr>
        <w:tc>
          <w:tcPr>
            <w:tcW w:w="772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3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Loans HFI</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2,254,546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2,114,742</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Nonaccrual loans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720" w:type="dxa"/>
            <w:vAlign w:val="bottom"/>
            <w:vMerge w:val="continue"/>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4,033</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2,625</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Average loans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2,255,394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2,089,712</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at beginning of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23,399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21,731</w:t>
            </w:r>
          </w:p>
        </w:tc>
        <w:tc>
          <w:tcPr>
            <w:tcW w:w="0" w:type="dxa"/>
            <w:vAlign w:val="bottom"/>
          </w:tcPr>
          <w:p>
            <w:pPr>
              <w:spacing w:after="0"/>
              <w:rPr>
                <w:sz w:val="1"/>
                <w:szCs w:val="1"/>
                <w:color w:val="auto"/>
              </w:rPr>
            </w:pP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Provision for credit losses</w:t>
            </w:r>
          </w:p>
        </w:tc>
        <w:tc>
          <w:tcPr>
            <w:tcW w:w="200" w:type="dxa"/>
            <w:vAlign w:val="bottom"/>
          </w:tcPr>
          <w:p>
            <w:pPr>
              <w:spacing w:after="0"/>
              <w:rPr>
                <w:sz w:val="18"/>
                <w:szCs w:val="18"/>
                <w:color w:val="auto"/>
              </w:rPr>
            </w:pP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17"/>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Charge-offs: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6"/>
                <w:szCs w:val="16"/>
                <w:color w:val="auto"/>
              </w:rPr>
              <w:t>Real estate:</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One-to-four family residential</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5"/>
        </w:trPr>
        <w:tc>
          <w:tcPr>
            <w:tcW w:w="7720" w:type="dxa"/>
            <w:vAlign w:val="bottom"/>
          </w:tcPr>
          <w:p>
            <w:pPr>
              <w:ind w:left="520"/>
              <w:spacing w:after="0"/>
              <w:rPr>
                <w:sz w:val="20"/>
                <w:szCs w:val="20"/>
                <w:color w:val="auto"/>
              </w:rPr>
            </w:pPr>
            <w:r>
              <w:rPr>
                <w:rFonts w:ascii="Arial" w:cs="Arial" w:eastAsia="Arial" w:hAnsi="Arial"/>
                <w:sz w:val="16"/>
                <w:szCs w:val="16"/>
                <w:color w:val="auto"/>
              </w:rPr>
              <w:t>Construction and development</w:t>
            </w:r>
          </w:p>
        </w:tc>
        <w:tc>
          <w:tcPr>
            <w:tcW w:w="20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7"/>
        </w:trPr>
        <w:tc>
          <w:tcPr>
            <w:tcW w:w="77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Commercial and industrial</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5"/>
        </w:trPr>
        <w:tc>
          <w:tcPr>
            <w:tcW w:w="772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Consumer</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charge-offs</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195"/>
        </w:trPr>
        <w:tc>
          <w:tcPr>
            <w:tcW w:w="7720" w:type="dxa"/>
            <w:vAlign w:val="bottom"/>
          </w:tcPr>
          <w:p>
            <w:pPr>
              <w:ind w:left="20"/>
              <w:spacing w:after="0"/>
              <w:rPr>
                <w:sz w:val="20"/>
                <w:szCs w:val="20"/>
                <w:color w:val="auto"/>
              </w:rPr>
            </w:pPr>
            <w:r>
              <w:rPr>
                <w:rFonts w:ascii="Arial" w:cs="Arial" w:eastAsia="Arial" w:hAnsi="Arial"/>
                <w:sz w:val="16"/>
                <w:szCs w:val="16"/>
                <w:color w:val="auto"/>
              </w:rPr>
              <w:t>Recoveries:</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7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Real estate:</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520"/>
              <w:spacing w:after="0"/>
              <w:rPr>
                <w:sz w:val="20"/>
                <w:szCs w:val="20"/>
                <w:color w:val="auto"/>
              </w:rPr>
            </w:pPr>
            <w:r>
              <w:rPr>
                <w:rFonts w:ascii="Arial" w:cs="Arial" w:eastAsia="Arial" w:hAnsi="Arial"/>
                <w:sz w:val="16"/>
                <w:szCs w:val="16"/>
                <w:color w:val="auto"/>
              </w:rPr>
              <w:t>One-to-four family residential</w:t>
            </w:r>
          </w:p>
        </w:tc>
        <w:tc>
          <w:tcPr>
            <w:tcW w:w="20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77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Commercial and industrial</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5"/>
        </w:trPr>
        <w:tc>
          <w:tcPr>
            <w:tcW w:w="772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Consumer</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recoveries</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(charge-offs)/recoveries</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35"/>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Allowance at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24,051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21,835</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ACL to loans HFI</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ACL to nonaccrual loans</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596.36%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831.81%</w:t>
            </w:r>
          </w:p>
        </w:tc>
        <w:tc>
          <w:tcPr>
            <w:tcW w:w="0" w:type="dxa"/>
            <w:vAlign w:val="bottom"/>
          </w:tcPr>
          <w:p>
            <w:pPr>
              <w:spacing w:after="0"/>
              <w:rPr>
                <w:sz w:val="1"/>
                <w:szCs w:val="1"/>
                <w:color w:val="auto"/>
              </w:rPr>
            </w:pPr>
          </w:p>
        </w:tc>
      </w:tr>
      <w:tr>
        <w:trPr>
          <w:trHeight w:val="217"/>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charge-offs to average loans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We believe that we have established our ACL in accordance with GAAP and that the ACL was adequate to provide for known and inherent losses in the portfolio at all times shown above. Future provisions for credit losses on loans are subject to ongoing evaluations of the factors and loan portfolio risks, including economic pressures related to inflation, unemployment, tariffs and trade, and natural disasters affecting the state of Louisiana. A decline in market area economic conditions, deterioration of asset quality, or growth in portfolio size could cause the allowance to become inadequate, and material additional provisions for credit losses could be required.</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Deposits</w:t>
      </w:r>
    </w:p>
    <w:p>
      <w:pPr>
        <w:spacing w:after="0" w:line="138"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Deposits are the primary funding source for loans and investments. We offer a variety of deposit products designed to attract and retain consumer, commercial, and public entity customers. These products consist of noninterest and interest-bearing checking accounts, savings accounts, money market accounts, and time deposit accounts. Deposits are gathered from individuals, partnerships, corporations, and public entities located primarily in our market areas. We do not have any internet-sourced or brokered deposits.</w:t>
      </w:r>
    </w:p>
    <w:p>
      <w:pPr>
        <w:spacing w:after="0" w:line="92"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Total deposits decreased $17.5 million, or 0.6%, to $2.95 billion as of March 31, 2026, from $2.96 billion as of December 31, 2025. This decrease was primarily a result of the seasonal outflow of funds from public entity customers exceeding increased commercial deposits. Noninterest-bearing deposits increased by $2.5 million, or 0.3%, to $916.4 million as of March 31, 2026. Noninterest-bearing deposits as a percentage of total deposits were 31.11% as of March 31, 2026, compared to 30.84% as of December 31, 2025. Interest-bearing deposits decreased by $20.0 million, or 1.0%, to $2.03 billion as of March 31, 2026.</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The Bank has a granular, diverse deposit portfolio with customers in a variety of industries throughout Louisiana. As of March 31, 2026 and December 31, 2025, the average deposit account size was approximately $29,000.</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deposits by account type as of the dates indicated: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40" w:type="dxa"/>
            <w:vAlign w:val="bottom"/>
            <w:gridSpan w:val="4"/>
          </w:tcPr>
          <w:p>
            <w:pPr>
              <w:jc w:val="center"/>
              <w:ind w:right="279"/>
              <w:spacing w:after="0"/>
              <w:rPr>
                <w:sz w:val="20"/>
                <w:szCs w:val="20"/>
                <w:color w:val="auto"/>
              </w:rPr>
            </w:pPr>
            <w:r>
              <w:rPr>
                <w:rFonts w:ascii="Arial" w:cs="Arial" w:eastAsia="Arial" w:hAnsi="Arial"/>
                <w:sz w:val="16"/>
                <w:szCs w:val="16"/>
                <w:b w:val="1"/>
                <w:bCs w:val="1"/>
                <w:color w:val="auto"/>
              </w:rPr>
              <w:t>Change from</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4"/>
            <w:vMerge w:val="restart"/>
          </w:tcPr>
          <w:p>
            <w:pPr>
              <w:ind w:left="480"/>
              <w:spacing w:after="0"/>
              <w:rPr>
                <w:sz w:val="20"/>
                <w:szCs w:val="20"/>
                <w:color w:val="auto"/>
              </w:rPr>
            </w:pPr>
            <w:r>
              <w:rPr>
                <w:rFonts w:ascii="Arial" w:cs="Arial" w:eastAsia="Arial" w:hAnsi="Arial"/>
                <w:sz w:val="16"/>
                <w:szCs w:val="16"/>
                <w:b w:val="1"/>
                <w:bCs w:val="1"/>
                <w:color w:val="auto"/>
              </w:rPr>
              <w:t>March 31, 2026</w:t>
            </w:r>
          </w:p>
        </w:tc>
        <w:tc>
          <w:tcPr>
            <w:tcW w:w="200" w:type="dxa"/>
            <w:vAlign w:val="bottom"/>
          </w:tcPr>
          <w:p>
            <w:pPr>
              <w:spacing w:after="0"/>
              <w:rPr>
                <w:sz w:val="14"/>
                <w:szCs w:val="14"/>
                <w:color w:val="auto"/>
              </w:rPr>
            </w:pPr>
          </w:p>
        </w:tc>
        <w:tc>
          <w:tcPr>
            <w:tcW w:w="2500" w:type="dxa"/>
            <w:vAlign w:val="bottom"/>
            <w:gridSpan w:val="4"/>
            <w:vMerge w:val="restart"/>
          </w:tcPr>
          <w:p>
            <w:pPr>
              <w:ind w:left="340"/>
              <w:spacing w:after="0"/>
              <w:rPr>
                <w:sz w:val="20"/>
                <w:szCs w:val="20"/>
                <w:color w:val="auto"/>
              </w:rPr>
            </w:pPr>
            <w:r>
              <w:rPr>
                <w:rFonts w:ascii="Arial" w:cs="Arial" w:eastAsia="Arial" w:hAnsi="Arial"/>
                <w:sz w:val="16"/>
                <w:szCs w:val="16"/>
                <w:b w:val="1"/>
                <w:bCs w:val="1"/>
                <w:color w:val="auto"/>
              </w:rPr>
              <w:t>December 31, 2025</w:t>
            </w:r>
          </w:p>
        </w:tc>
        <w:tc>
          <w:tcPr>
            <w:tcW w:w="2560" w:type="dxa"/>
            <w:vAlign w:val="bottom"/>
            <w:gridSpan w:val="5"/>
          </w:tcPr>
          <w:p>
            <w:pPr>
              <w:jc w:val="center"/>
              <w:spacing w:after="0" w:line="162" w:lineRule="exact"/>
              <w:rPr>
                <w:sz w:val="20"/>
                <w:szCs w:val="20"/>
                <w:color w:val="auto"/>
              </w:rPr>
            </w:pPr>
            <w:r>
              <w:rPr>
                <w:rFonts w:ascii="Arial" w:cs="Arial" w:eastAsia="Arial" w:hAnsi="Arial"/>
                <w:sz w:val="16"/>
                <w:szCs w:val="16"/>
                <w:b w:val="1"/>
                <w:bCs w:val="1"/>
                <w:color w:val="auto"/>
              </w:rPr>
              <w:t>December 31, 2025 to March 31,</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4"/>
            <w:vMerge w:val="continue"/>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4"/>
            <w:vMerge w:val="continue"/>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60" w:type="dxa"/>
            <w:vAlign w:val="bottom"/>
            <w:gridSpan w:val="3"/>
          </w:tcPr>
          <w:p>
            <w:pPr>
              <w:jc w:val="center"/>
              <w:ind w:right="1019"/>
              <w:spacing w:after="0"/>
              <w:rPr>
                <w:sz w:val="20"/>
                <w:szCs w:val="20"/>
                <w:color w:val="auto"/>
              </w:rPr>
            </w:pPr>
            <w:r>
              <w:rPr>
                <w:rFonts w:ascii="Arial" w:cs="Arial" w:eastAsia="Arial" w:hAnsi="Arial"/>
                <w:sz w:val="16"/>
                <w:szCs w:val="16"/>
                <w:b w:val="1"/>
                <w:bCs w:val="1"/>
                <w:color w:val="auto"/>
              </w:rPr>
              <w:t>2026</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Balance</w:t>
            </w:r>
          </w:p>
        </w:tc>
        <w:tc>
          <w:tcPr>
            <w:tcW w:w="12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of Total</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Balance</w:t>
            </w:r>
          </w:p>
        </w:tc>
        <w:tc>
          <w:tcPr>
            <w:tcW w:w="12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of Total</w:t>
            </w:r>
          </w:p>
        </w:tc>
        <w:tc>
          <w:tcPr>
            <w:tcW w:w="160" w:type="dxa"/>
            <w:vAlign w:val="bottom"/>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Noninterest-bearing demand deposits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916,413</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913,868</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2,545</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5"/>
        </w:trPr>
        <w:tc>
          <w:tcPr>
            <w:tcW w:w="3300" w:type="dxa"/>
            <w:vAlign w:val="bottom"/>
          </w:tcPr>
          <w:p>
            <w:pPr>
              <w:ind w:left="20"/>
              <w:spacing w:after="0"/>
              <w:rPr>
                <w:sz w:val="20"/>
                <w:szCs w:val="20"/>
                <w:color w:val="auto"/>
              </w:rPr>
            </w:pPr>
            <w:r>
              <w:rPr>
                <w:rFonts w:ascii="Arial" w:cs="Arial" w:eastAsia="Arial" w:hAnsi="Arial"/>
                <w:sz w:val="16"/>
                <w:szCs w:val="16"/>
                <w:color w:val="auto"/>
              </w:rPr>
              <w:t>Interest-bearing deposits: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Interest-bearing demand deposits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189,993</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198,724</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(8,731)</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5"/>
        </w:trPr>
        <w:tc>
          <w:tcPr>
            <w:tcW w:w="3300" w:type="dxa"/>
            <w:vAlign w:val="bottom"/>
          </w:tcPr>
          <w:p>
            <w:pPr>
              <w:ind w:left="100"/>
              <w:spacing w:after="0"/>
              <w:rPr>
                <w:sz w:val="20"/>
                <w:szCs w:val="20"/>
                <w:color w:val="auto"/>
              </w:rPr>
            </w:pPr>
            <w:r>
              <w:rPr>
                <w:rFonts w:ascii="Arial" w:cs="Arial" w:eastAsia="Arial" w:hAnsi="Arial"/>
                <w:sz w:val="16"/>
                <w:szCs w:val="16"/>
                <w:color w:val="auto"/>
              </w:rPr>
              <w:t>NOW accounts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465,146</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490,376</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(25,230)</w:t>
            </w: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7"/>
        </w:trPr>
        <w:tc>
          <w:tcPr>
            <w:tcW w:w="3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Money market accounts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590,107</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580,949</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9,158</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5"/>
        </w:trPr>
        <w:tc>
          <w:tcPr>
            <w:tcW w:w="3300" w:type="dxa"/>
            <w:vAlign w:val="bottom"/>
          </w:tcPr>
          <w:p>
            <w:pPr>
              <w:ind w:left="100"/>
              <w:spacing w:after="0"/>
              <w:rPr>
                <w:sz w:val="20"/>
                <w:szCs w:val="20"/>
                <w:color w:val="auto"/>
              </w:rPr>
            </w:pPr>
            <w:r>
              <w:rPr>
                <w:rFonts w:ascii="Arial" w:cs="Arial" w:eastAsia="Arial" w:hAnsi="Arial"/>
                <w:sz w:val="16"/>
                <w:szCs w:val="16"/>
                <w:color w:val="auto"/>
              </w:rPr>
              <w:t>Savings accounts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174,393</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168,889</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5,504</w:t>
            </w: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63"/>
        </w:trPr>
        <w:tc>
          <w:tcPr>
            <w:tcW w:w="3300" w:type="dxa"/>
            <w:vAlign w:val="bottom"/>
            <w:shd w:val="clear" w:color="auto" w:fill="CCEEFF"/>
          </w:tcPr>
          <w:p>
            <w:pPr>
              <w:ind w:left="100"/>
              <w:spacing w:after="0" w:line="163" w:lineRule="exact"/>
              <w:rPr>
                <w:sz w:val="20"/>
                <w:szCs w:val="20"/>
                <w:color w:val="auto"/>
              </w:rPr>
            </w:pPr>
            <w:r>
              <w:rPr>
                <w:rFonts w:ascii="Arial" w:cs="Arial" w:eastAsia="Arial" w:hAnsi="Arial"/>
                <w:sz w:val="16"/>
                <w:szCs w:val="16"/>
                <w:color w:val="auto"/>
              </w:rPr>
              <w:t>Time deposits less than or equal to</w:t>
            </w:r>
          </w:p>
        </w:tc>
        <w:tc>
          <w:tcPr>
            <w:tcW w:w="2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405,281</w:t>
            </w: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407,539</w:t>
            </w: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(2,258)</w:t>
            </w:r>
          </w:p>
        </w:tc>
        <w:tc>
          <w:tcPr>
            <w:tcW w:w="14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$250,000</w:t>
            </w: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46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00" w:type="dxa"/>
            <w:vAlign w:val="bottom"/>
          </w:tcPr>
          <w:p>
            <w:pPr>
              <w:ind w:left="100"/>
              <w:spacing w:after="0"/>
              <w:rPr>
                <w:sz w:val="20"/>
                <w:szCs w:val="20"/>
                <w:color w:val="auto"/>
              </w:rPr>
            </w:pPr>
            <w:r>
              <w:rPr>
                <w:rFonts w:ascii="Arial" w:cs="Arial" w:eastAsia="Arial" w:hAnsi="Arial"/>
                <w:sz w:val="16"/>
                <w:szCs w:val="16"/>
                <w:color w:val="auto"/>
              </w:rPr>
              <w:t>Time deposits greater than $250,000</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204,602</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203,067</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1,535</w:t>
            </w: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9"/>
        </w:trPr>
        <w:tc>
          <w:tcPr>
            <w:tcW w:w="33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interest-bearing deposits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2,029,522</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2,049,544</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(20,022)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Arial" w:cs="Arial" w:eastAsia="Arial" w:hAnsi="Arial"/>
                <w:sz w:val="16"/>
                <w:szCs w:val="16"/>
                <w:color w:val="auto"/>
              </w:rPr>
              <w:t>Total deposits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2,945,935</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2,963,412</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(17,477)</w:t>
            </w: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deposits by customer type as of the dates indicated: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40" w:type="dxa"/>
            <w:vAlign w:val="bottom"/>
            <w:gridSpan w:val="4"/>
          </w:tcPr>
          <w:p>
            <w:pPr>
              <w:jc w:val="center"/>
              <w:ind w:right="279"/>
              <w:spacing w:after="0"/>
              <w:rPr>
                <w:sz w:val="20"/>
                <w:szCs w:val="20"/>
                <w:color w:val="auto"/>
              </w:rPr>
            </w:pPr>
            <w:r>
              <w:rPr>
                <w:rFonts w:ascii="Arial" w:cs="Arial" w:eastAsia="Arial" w:hAnsi="Arial"/>
                <w:sz w:val="16"/>
                <w:szCs w:val="16"/>
                <w:b w:val="1"/>
                <w:bCs w:val="1"/>
                <w:color w:val="auto"/>
              </w:rPr>
              <w:t>Change from</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4"/>
            <w:vMerge w:val="restart"/>
          </w:tcPr>
          <w:p>
            <w:pPr>
              <w:ind w:left="480"/>
              <w:spacing w:after="0"/>
              <w:rPr>
                <w:sz w:val="20"/>
                <w:szCs w:val="20"/>
                <w:color w:val="auto"/>
              </w:rPr>
            </w:pPr>
            <w:r>
              <w:rPr>
                <w:rFonts w:ascii="Arial" w:cs="Arial" w:eastAsia="Arial" w:hAnsi="Arial"/>
                <w:sz w:val="16"/>
                <w:szCs w:val="16"/>
                <w:b w:val="1"/>
                <w:bCs w:val="1"/>
                <w:color w:val="auto"/>
              </w:rPr>
              <w:t>March 31, 2026</w:t>
            </w:r>
          </w:p>
        </w:tc>
        <w:tc>
          <w:tcPr>
            <w:tcW w:w="200" w:type="dxa"/>
            <w:vAlign w:val="bottom"/>
          </w:tcPr>
          <w:p>
            <w:pPr>
              <w:spacing w:after="0"/>
              <w:rPr>
                <w:sz w:val="14"/>
                <w:szCs w:val="14"/>
                <w:color w:val="auto"/>
              </w:rPr>
            </w:pPr>
          </w:p>
        </w:tc>
        <w:tc>
          <w:tcPr>
            <w:tcW w:w="2500" w:type="dxa"/>
            <w:vAlign w:val="bottom"/>
            <w:gridSpan w:val="4"/>
            <w:vMerge w:val="restart"/>
          </w:tcPr>
          <w:p>
            <w:pPr>
              <w:ind w:left="340"/>
              <w:spacing w:after="0"/>
              <w:rPr>
                <w:sz w:val="20"/>
                <w:szCs w:val="20"/>
                <w:color w:val="auto"/>
              </w:rPr>
            </w:pPr>
            <w:r>
              <w:rPr>
                <w:rFonts w:ascii="Arial" w:cs="Arial" w:eastAsia="Arial" w:hAnsi="Arial"/>
                <w:sz w:val="16"/>
                <w:szCs w:val="16"/>
                <w:b w:val="1"/>
                <w:bCs w:val="1"/>
                <w:color w:val="auto"/>
              </w:rPr>
              <w:t>December 31, 2025</w:t>
            </w:r>
          </w:p>
        </w:tc>
        <w:tc>
          <w:tcPr>
            <w:tcW w:w="2560" w:type="dxa"/>
            <w:vAlign w:val="bottom"/>
            <w:gridSpan w:val="5"/>
          </w:tcPr>
          <w:p>
            <w:pPr>
              <w:jc w:val="center"/>
              <w:spacing w:after="0" w:line="162" w:lineRule="exact"/>
              <w:rPr>
                <w:sz w:val="20"/>
                <w:szCs w:val="20"/>
                <w:color w:val="auto"/>
              </w:rPr>
            </w:pPr>
            <w:r>
              <w:rPr>
                <w:rFonts w:ascii="Arial" w:cs="Arial" w:eastAsia="Arial" w:hAnsi="Arial"/>
                <w:sz w:val="16"/>
                <w:szCs w:val="16"/>
                <w:b w:val="1"/>
                <w:bCs w:val="1"/>
                <w:color w:val="auto"/>
              </w:rPr>
              <w:t>December 31, 2025 to March 31,</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4"/>
            <w:vMerge w:val="continue"/>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4"/>
            <w:vMerge w:val="continue"/>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60" w:type="dxa"/>
            <w:vAlign w:val="bottom"/>
            <w:gridSpan w:val="3"/>
          </w:tcPr>
          <w:p>
            <w:pPr>
              <w:jc w:val="center"/>
              <w:ind w:right="1019"/>
              <w:spacing w:after="0"/>
              <w:rPr>
                <w:sz w:val="20"/>
                <w:szCs w:val="20"/>
                <w:color w:val="auto"/>
              </w:rPr>
            </w:pPr>
            <w:r>
              <w:rPr>
                <w:rFonts w:ascii="Arial" w:cs="Arial" w:eastAsia="Arial" w:hAnsi="Arial"/>
                <w:sz w:val="16"/>
                <w:szCs w:val="16"/>
                <w:b w:val="1"/>
                <w:bCs w:val="1"/>
                <w:color w:val="auto"/>
              </w:rPr>
              <w:t>2026</w:t>
            </w:r>
          </w:p>
        </w:tc>
        <w:tc>
          <w:tcPr>
            <w:tcW w:w="0" w:type="dxa"/>
            <w:vAlign w:val="bottom"/>
          </w:tcPr>
          <w:p>
            <w:pPr>
              <w:spacing w:after="0"/>
              <w:rPr>
                <w:sz w:val="1"/>
                <w:szCs w:val="1"/>
                <w:color w:val="auto"/>
              </w:rPr>
            </w:pPr>
          </w:p>
        </w:tc>
      </w:tr>
      <w:tr>
        <w:trPr>
          <w:trHeight w:val="209"/>
        </w:trPr>
        <w:tc>
          <w:tcPr>
            <w:tcW w:w="330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Balance</w:t>
            </w:r>
          </w:p>
        </w:tc>
        <w:tc>
          <w:tcPr>
            <w:tcW w:w="12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of Total</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Balance</w:t>
            </w:r>
          </w:p>
        </w:tc>
        <w:tc>
          <w:tcPr>
            <w:tcW w:w="12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of Total</w:t>
            </w:r>
          </w:p>
        </w:tc>
        <w:tc>
          <w:tcPr>
            <w:tcW w:w="160" w:type="dxa"/>
            <w:vAlign w:val="bottom"/>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Change</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1,409,126</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1,397,775</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center"/>
              <w:ind w:left="139"/>
              <w:spacing w:after="0"/>
              <w:rPr>
                <w:sz w:val="20"/>
                <w:szCs w:val="20"/>
                <w:color w:val="auto"/>
              </w:rPr>
            </w:pPr>
            <w:r>
              <w:rPr>
                <w:rFonts w:ascii="Arial" w:cs="Arial" w:eastAsia="Arial" w:hAnsi="Arial"/>
                <w:sz w:val="16"/>
                <w:szCs w:val="16"/>
                <w:color w:val="auto"/>
                <w:w w:val="98"/>
              </w:rPr>
              <w:t>11,351</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5"/>
        </w:trPr>
        <w:tc>
          <w:tcPr>
            <w:tcW w:w="3300" w:type="dxa"/>
            <w:vAlign w:val="bottom"/>
          </w:tcPr>
          <w:p>
            <w:pPr>
              <w:ind w:left="20"/>
              <w:spacing w:after="0"/>
              <w:rPr>
                <w:sz w:val="20"/>
                <w:szCs w:val="20"/>
                <w:color w:val="auto"/>
              </w:rPr>
            </w:pPr>
            <w:r>
              <w:rPr>
                <w:rFonts w:ascii="Arial" w:cs="Arial" w:eastAsia="Arial" w:hAnsi="Arial"/>
                <w:sz w:val="16"/>
                <w:szCs w:val="16"/>
                <w:color w:val="auto"/>
              </w:rPr>
              <w:t>Commercial</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1,296,580</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44.0%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1,270,069</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center"/>
              <w:ind w:left="139"/>
              <w:spacing w:after="0"/>
              <w:rPr>
                <w:sz w:val="20"/>
                <w:szCs w:val="20"/>
                <w:color w:val="auto"/>
              </w:rPr>
            </w:pPr>
            <w:r>
              <w:rPr>
                <w:rFonts w:ascii="Arial" w:cs="Arial" w:eastAsia="Arial" w:hAnsi="Arial"/>
                <w:sz w:val="16"/>
                <w:szCs w:val="16"/>
                <w:color w:val="auto"/>
                <w:w w:val="98"/>
              </w:rPr>
              <w:t>26,511</w:t>
            </w: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Public</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240,229</w:t>
            </w:r>
          </w:p>
        </w:tc>
        <w:tc>
          <w:tcPr>
            <w:tcW w:w="1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295,568</w:t>
            </w:r>
          </w:p>
        </w:tc>
        <w:tc>
          <w:tcPr>
            <w:tcW w:w="1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center"/>
              <w:ind w:left="99"/>
              <w:spacing w:after="0"/>
              <w:rPr>
                <w:sz w:val="20"/>
                <w:szCs w:val="20"/>
                <w:color w:val="auto"/>
              </w:rPr>
            </w:pPr>
            <w:r>
              <w:rPr>
                <w:rFonts w:ascii="Arial" w:cs="Arial" w:eastAsia="Arial" w:hAnsi="Arial"/>
                <w:sz w:val="16"/>
                <w:szCs w:val="16"/>
                <w:color w:val="auto"/>
              </w:rPr>
              <w:t>(55,339)</w:t>
            </w:r>
          </w:p>
        </w:tc>
        <w:tc>
          <w:tcPr>
            <w:tcW w:w="20" w:type="dxa"/>
            <w:vAlign w:val="bottom"/>
            <w:tcBorders>
              <w:bottom w:val="single" w:sz="8" w:color="auto"/>
            </w:tcBorders>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0"/>
        </w:trPr>
        <w:tc>
          <w:tcPr>
            <w:tcW w:w="3300" w:type="dxa"/>
            <w:vAlign w:val="bottom"/>
          </w:tcPr>
          <w:p>
            <w:pPr>
              <w:ind w:left="220"/>
              <w:spacing w:after="0"/>
              <w:rPr>
                <w:sz w:val="20"/>
                <w:szCs w:val="20"/>
                <w:color w:val="auto"/>
              </w:rPr>
            </w:pPr>
            <w:r>
              <w:rPr>
                <w:rFonts w:ascii="Arial" w:cs="Arial" w:eastAsia="Arial" w:hAnsi="Arial"/>
                <w:sz w:val="16"/>
                <w:szCs w:val="16"/>
                <w:color w:val="auto"/>
              </w:rPr>
              <w:t>Total deposits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2,945,935</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2,963,412</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Pr>
          <w:p>
            <w:pPr>
              <w:jc w:val="center"/>
              <w:ind w:left="99"/>
              <w:spacing w:after="0"/>
              <w:rPr>
                <w:sz w:val="20"/>
                <w:szCs w:val="20"/>
                <w:color w:val="auto"/>
              </w:rPr>
            </w:pPr>
            <w:r>
              <w:rPr>
                <w:rFonts w:ascii="Arial" w:cs="Arial" w:eastAsia="Arial" w:hAnsi="Arial"/>
                <w:sz w:val="16"/>
                <w:szCs w:val="16"/>
                <w:color w:val="auto"/>
              </w:rPr>
              <w:t>(17,477)</w:t>
            </w: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80"/>
        <w:spacing w:after="0" w:line="275" w:lineRule="auto"/>
        <w:rPr>
          <w:sz w:val="20"/>
          <w:szCs w:val="20"/>
          <w:color w:val="auto"/>
        </w:rPr>
      </w:pPr>
      <w:r>
        <w:rPr>
          <w:rFonts w:ascii="Arial" w:cs="Arial" w:eastAsia="Arial" w:hAnsi="Arial"/>
          <w:sz w:val="16"/>
          <w:szCs w:val="16"/>
          <w:color w:val="auto"/>
        </w:rPr>
        <w:t>We manage our interest expense on deposits through a deposit pricing strategy that is based on competitive pricing, economic conditions, and current or anticipated funding needs. We adjust deposit rates in part based upon our anticipated funding needs and liquidity position. We also consider the potential interest rate risk caused by extended maturities of time deposits when adjusting deposit rates.</w:t>
      </w:r>
    </w:p>
    <w:p>
      <w:pPr>
        <w:spacing w:after="0" w:line="70"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Our average deposit balance was $2.97 billion for the three months ended March 31, 2026, an increase of $61.3 million, or 2.1%, from $2.90 billion for the three months ended December 31, 2025. The average cost of interest-bearing deposits and total deposits for the first quarter of 2026 was 2.13% and 1.47%, respectively, compared to 2.22% and 1.50%, respectively, for the prior quarter. The decrease in the average cost of interest-bearing deposits and total deposits in the first quarter of 2026, as compared to the prior quarter, was primarily due to lowering selected deposit rates in conjunction with the FOMC lowering rates in the fourth quarter of 2025. Also, as of March 31, 2026, 9.2% of interest-bearing transaction deposits had floating rates, which adjust with market rates.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average deposits by account type and the average rate paid for the periods indicated: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600" w:type="dxa"/>
            <w:vAlign w:val="bottom"/>
            <w:tcBorders>
              <w:top w:val="single" w:sz="8" w:color="auto"/>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For the Three Months Ended</w:t>
            </w:r>
          </w:p>
        </w:tc>
        <w:tc>
          <w:tcPr>
            <w:tcW w:w="1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4"/>
          </w:tcPr>
          <w:p>
            <w:pPr>
              <w:ind w:left="480"/>
              <w:spacing w:after="0"/>
              <w:rPr>
                <w:sz w:val="20"/>
                <w:szCs w:val="20"/>
                <w:color w:val="auto"/>
              </w:rPr>
            </w:pPr>
            <w:r>
              <w:rPr>
                <w:rFonts w:ascii="Arial" w:cs="Arial" w:eastAsia="Arial" w:hAnsi="Arial"/>
                <w:sz w:val="16"/>
                <w:szCs w:val="16"/>
                <w:b w:val="1"/>
                <w:bCs w:val="1"/>
                <w:color w:val="auto"/>
              </w:rPr>
              <w:t>March 31, 2026</w:t>
            </w:r>
          </w:p>
        </w:tc>
        <w:tc>
          <w:tcPr>
            <w:tcW w:w="220" w:type="dxa"/>
            <w:vAlign w:val="bottom"/>
          </w:tcPr>
          <w:p>
            <w:pPr>
              <w:spacing w:after="0"/>
              <w:rPr>
                <w:sz w:val="18"/>
                <w:szCs w:val="18"/>
                <w:color w:val="auto"/>
              </w:rPr>
            </w:pPr>
          </w:p>
        </w:tc>
        <w:tc>
          <w:tcPr>
            <w:tcW w:w="2320" w:type="dxa"/>
            <w:vAlign w:val="bottom"/>
            <w:gridSpan w:val="3"/>
          </w:tcPr>
          <w:p>
            <w:pPr>
              <w:jc w:val="right"/>
              <w:ind w:right="459"/>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156"/>
        </w:trPr>
        <w:tc>
          <w:tcPr>
            <w:tcW w:w="6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239"/>
              <w:spacing w:after="0" w:line="155" w:lineRule="exact"/>
              <w:rPr>
                <w:sz w:val="20"/>
                <w:szCs w:val="20"/>
                <w:color w:val="auto"/>
              </w:rPr>
            </w:pPr>
            <w:r>
              <w:rPr>
                <w:rFonts w:ascii="Arial" w:cs="Arial" w:eastAsia="Arial" w:hAnsi="Arial"/>
                <w:sz w:val="16"/>
                <w:szCs w:val="16"/>
                <w:b w:val="1"/>
                <w:bCs w:val="1"/>
                <w:color w:val="auto"/>
              </w:rPr>
              <w:t>Average</w:t>
            </w: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Average</w:t>
            </w:r>
          </w:p>
        </w:tc>
        <w:tc>
          <w:tcPr>
            <w:tcW w:w="1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239"/>
              <w:spacing w:after="0" w:line="155" w:lineRule="exact"/>
              <w:rPr>
                <w:sz w:val="20"/>
                <w:szCs w:val="20"/>
                <w:color w:val="auto"/>
              </w:rPr>
            </w:pPr>
            <w:r>
              <w:rPr>
                <w:rFonts w:ascii="Arial" w:cs="Arial" w:eastAsia="Arial" w:hAnsi="Arial"/>
                <w:sz w:val="16"/>
                <w:szCs w:val="16"/>
                <w:b w:val="1"/>
                <w:bCs w:val="1"/>
                <w:color w:val="auto"/>
              </w:rPr>
              <w:t>Average</w:t>
            </w: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179"/>
              <w:spacing w:after="0" w:line="155"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216"/>
        </w:trPr>
        <w:tc>
          <w:tcPr>
            <w:tcW w:w="60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259"/>
              <w:spacing w:after="0"/>
              <w:rPr>
                <w:sz w:val="20"/>
                <w:szCs w:val="20"/>
                <w:color w:val="auto"/>
              </w:rPr>
            </w:pPr>
            <w:r>
              <w:rPr>
                <w:rFonts w:ascii="Arial" w:cs="Arial" w:eastAsia="Arial" w:hAnsi="Arial"/>
                <w:sz w:val="16"/>
                <w:szCs w:val="16"/>
                <w:b w:val="1"/>
                <w:bCs w:val="1"/>
                <w:color w:val="auto"/>
              </w:rPr>
              <w:t>Balance</w:t>
            </w:r>
          </w:p>
        </w:tc>
        <w:tc>
          <w:tcPr>
            <w:tcW w:w="10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Rate</w:t>
            </w:r>
          </w:p>
        </w:tc>
        <w:tc>
          <w:tcPr>
            <w:tcW w:w="220" w:type="dxa"/>
            <w:vAlign w:val="bottom"/>
          </w:tcPr>
          <w:p>
            <w:pPr>
              <w:spacing w:after="0"/>
              <w:rPr>
                <w:sz w:val="18"/>
                <w:szCs w:val="18"/>
                <w:color w:val="auto"/>
              </w:rPr>
            </w:pPr>
          </w:p>
        </w:tc>
        <w:tc>
          <w:tcPr>
            <w:tcW w:w="1060" w:type="dxa"/>
            <w:vAlign w:val="bottom"/>
          </w:tcPr>
          <w:p>
            <w:pPr>
              <w:jc w:val="right"/>
              <w:ind w:right="259"/>
              <w:spacing w:after="0"/>
              <w:rPr>
                <w:sz w:val="20"/>
                <w:szCs w:val="20"/>
                <w:color w:val="auto"/>
              </w:rPr>
            </w:pPr>
            <w:r>
              <w:rPr>
                <w:rFonts w:ascii="Arial" w:cs="Arial" w:eastAsia="Arial" w:hAnsi="Arial"/>
                <w:sz w:val="16"/>
                <w:szCs w:val="16"/>
                <w:b w:val="1"/>
                <w:bCs w:val="1"/>
                <w:color w:val="auto"/>
              </w:rPr>
              <w:t>Balance</w:t>
            </w:r>
          </w:p>
        </w:tc>
        <w:tc>
          <w:tcPr>
            <w:tcW w:w="100" w:type="dxa"/>
            <w:vAlign w:val="bottom"/>
          </w:tcPr>
          <w:p>
            <w:pPr>
              <w:spacing w:after="0"/>
              <w:rPr>
                <w:sz w:val="18"/>
                <w:szCs w:val="18"/>
                <w:color w:val="auto"/>
              </w:rPr>
            </w:pPr>
          </w:p>
        </w:tc>
        <w:tc>
          <w:tcPr>
            <w:tcW w:w="1160" w:type="dxa"/>
            <w:vAlign w:val="bottom"/>
          </w:tcPr>
          <w:p>
            <w:pPr>
              <w:jc w:val="right"/>
              <w:ind w:right="319"/>
              <w:spacing w:after="0"/>
              <w:rPr>
                <w:sz w:val="20"/>
                <w:szCs w:val="20"/>
                <w:color w:val="auto"/>
              </w:rPr>
            </w:pPr>
            <w:r>
              <w:rPr>
                <w:rFonts w:ascii="Arial" w:cs="Arial" w:eastAsia="Arial" w:hAnsi="Arial"/>
                <w:sz w:val="16"/>
                <w:szCs w:val="16"/>
                <w:b w:val="1"/>
                <w:bCs w:val="1"/>
                <w:color w:val="auto"/>
              </w:rPr>
              <w:t>Rate</w:t>
            </w:r>
          </w:p>
        </w:tc>
        <w:tc>
          <w:tcPr>
            <w:tcW w:w="0" w:type="dxa"/>
            <w:vAlign w:val="bottom"/>
          </w:tcPr>
          <w:p>
            <w:pPr>
              <w:spacing w:after="0"/>
              <w:rPr>
                <w:sz w:val="1"/>
                <w:szCs w:val="1"/>
                <w:color w:val="auto"/>
              </w:rPr>
            </w:pPr>
          </w:p>
        </w:tc>
      </w:tr>
      <w:tr>
        <w:trPr>
          <w:trHeight w:val="209"/>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Noninterest-bearing demand deposits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917,623</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947,506</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15"/>
        </w:trPr>
        <w:tc>
          <w:tcPr>
            <w:tcW w:w="6000" w:type="dxa"/>
            <w:vAlign w:val="bottom"/>
          </w:tcPr>
          <w:p>
            <w:pPr>
              <w:ind w:left="20"/>
              <w:spacing w:after="0"/>
              <w:rPr>
                <w:sz w:val="20"/>
                <w:szCs w:val="20"/>
                <w:color w:val="auto"/>
              </w:rPr>
            </w:pPr>
            <w:r>
              <w:rPr>
                <w:rFonts w:ascii="Arial" w:cs="Arial" w:eastAsia="Arial" w:hAnsi="Arial"/>
                <w:sz w:val="16"/>
                <w:szCs w:val="16"/>
                <w:color w:val="auto"/>
              </w:rPr>
              <w:t>Interest-bearing deposits: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Interest-bearing demand deposits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207,149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177,896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15"/>
        </w:trPr>
        <w:tc>
          <w:tcPr>
            <w:tcW w:w="6000" w:type="dxa"/>
            <w:vAlign w:val="bottom"/>
          </w:tcPr>
          <w:p>
            <w:pPr>
              <w:ind w:left="140"/>
              <w:spacing w:after="0"/>
              <w:rPr>
                <w:sz w:val="20"/>
                <w:szCs w:val="20"/>
                <w:color w:val="auto"/>
              </w:rPr>
            </w:pPr>
            <w:r>
              <w:rPr>
                <w:rFonts w:ascii="Arial" w:cs="Arial" w:eastAsia="Arial" w:hAnsi="Arial"/>
                <w:sz w:val="16"/>
                <w:szCs w:val="16"/>
                <w:color w:val="auto"/>
              </w:rPr>
              <w:t>NOW accounts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478,501</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1.19%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424,702</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Money market accounts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583,990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579,836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15"/>
        </w:trPr>
        <w:tc>
          <w:tcPr>
            <w:tcW w:w="6000" w:type="dxa"/>
            <w:vAlign w:val="bottom"/>
          </w:tcPr>
          <w:p>
            <w:pPr>
              <w:ind w:left="140"/>
              <w:spacing w:after="0"/>
              <w:rPr>
                <w:sz w:val="20"/>
                <w:szCs w:val="20"/>
                <w:color w:val="auto"/>
              </w:rPr>
            </w:pPr>
            <w:r>
              <w:rPr>
                <w:rFonts w:ascii="Arial" w:cs="Arial" w:eastAsia="Arial" w:hAnsi="Arial"/>
                <w:sz w:val="16"/>
                <w:szCs w:val="16"/>
                <w:color w:val="auto"/>
              </w:rPr>
              <w:t>Savings accounts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170,478</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0.15%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166,027</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Time deposits</w:t>
            </w: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607,964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608,448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09"/>
        </w:trPr>
        <w:tc>
          <w:tcPr>
            <w:tcW w:w="60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interest-bearing deposits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2,048,082</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2.13%</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1,956,909</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35"/>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average deposits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2,965,705</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2,904,415</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2026, our estimated uninsured deposits, which are the portion of deposit accounts that exceed the FDIC insurance limit (currently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$250,000), were approximately $927.9 million, or 31.5% of total deposits, compared to $955.9 million, or 32.3% of total deposits, as of December 31, 2025.</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These amounts were estimated based on the same methodologies and assumptions used for regulatory reporting purposes. Also, as of March 31, 2026, our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estimated uninsured deposits, excluding collateralized public entity deposits, were approximately $752.5 million, or 25.5% of total deposits, compared to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$722.0 million, or 24.4% of total deposits, as of December 31, 2025. As of March 31, 2026, our cash and cash equivalents of $210.5 million, combined with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our available borrowing capacity of $1.77 billion, equaled 213.3% of our estimated uninsured deposits and 263.1% of our estimated uninsured deposits,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excluding collateralized public entity deposits.</w:t>
      </w:r>
    </w:p>
    <w:p>
      <w:pPr>
        <w:spacing w:after="0" w:line="12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following table presents the amount of time deposits by account that are in excess of the FDIC insurance limit (currently $250,000) by time remaining until maturity for the period indicated: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March 31, 2026</w:t>
            </w:r>
          </w:p>
        </w:tc>
      </w:tr>
      <w:tr>
        <w:trPr>
          <w:trHeight w:val="209"/>
        </w:trPr>
        <w:tc>
          <w:tcPr>
            <w:tcW w:w="8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Three months or less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31,152</w:t>
            </w:r>
          </w:p>
        </w:tc>
      </w:tr>
      <w:tr>
        <w:trPr>
          <w:trHeight w:val="215"/>
        </w:trPr>
        <w:tc>
          <w:tcPr>
            <w:tcW w:w="8940" w:type="dxa"/>
            <w:vAlign w:val="bottom"/>
          </w:tcPr>
          <w:p>
            <w:pPr>
              <w:ind w:left="20"/>
              <w:spacing w:after="0"/>
              <w:rPr>
                <w:sz w:val="20"/>
                <w:szCs w:val="20"/>
                <w:color w:val="auto"/>
              </w:rPr>
            </w:pPr>
            <w:r>
              <w:rPr>
                <w:rFonts w:ascii="Arial" w:cs="Arial" w:eastAsia="Arial" w:hAnsi="Arial"/>
                <w:sz w:val="16"/>
                <w:szCs w:val="16"/>
                <w:color w:val="auto"/>
              </w:rPr>
              <w:t>Over three months through six months</w:t>
            </w:r>
          </w:p>
        </w:tc>
        <w:tc>
          <w:tcPr>
            <w:tcW w:w="3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44,290</w:t>
            </w:r>
          </w:p>
        </w:tc>
      </w:tr>
      <w:tr>
        <w:trPr>
          <w:trHeight w:val="217"/>
        </w:trPr>
        <w:tc>
          <w:tcPr>
            <w:tcW w:w="8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Over six months through 12 months</w:t>
            </w: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24,216</w:t>
            </w:r>
          </w:p>
        </w:tc>
      </w:tr>
      <w:tr>
        <w:trPr>
          <w:trHeight w:val="215"/>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Over 12 months</w:t>
            </w:r>
          </w:p>
        </w:tc>
        <w:tc>
          <w:tcPr>
            <w:tcW w:w="3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3,694</w:t>
            </w:r>
          </w:p>
        </w:tc>
      </w:tr>
      <w:tr>
        <w:trPr>
          <w:trHeight w:val="235"/>
        </w:trPr>
        <w:tc>
          <w:tcPr>
            <w:tcW w:w="8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103,352</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Borrowings</w:t>
      </w:r>
    </w:p>
    <w:p>
      <w:pPr>
        <w:spacing w:after="0" w:line="138"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Although deposits are our primary source of funds, we may, from time to time, utilize borrowings as a cost-effective source of funds when such borrowings can be invested at a positive interest rate spread for additional capacity to fund loan demand or to meet our liquidity needs. We established borrowing capacity with the FHLB, the Federal Reserve Bank’s Discount Window facility, and other correspondent banks to provide additional sources of operating funds. Our FHLB line of credit is secured by a blanket lien on selected Red River Bank loans that meet FHLB collateral requirements. Our Federal Reserve Bank’s Discount Window line of credit is collateralized by pledged securities and eligible Red River Bank loans that are not pledged to the FHLB. As of March 31, 2026 and December 31, 2025, we had no outstanding borrowings under these agreements.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Stockholders’ Equity</w:t>
      </w:r>
    </w:p>
    <w:p>
      <w:pPr>
        <w:spacing w:after="0" w:line="125" w:lineRule="exact"/>
        <w:rPr>
          <w:sz w:val="20"/>
          <w:szCs w:val="20"/>
          <w:color w:val="auto"/>
        </w:rPr>
      </w:pPr>
    </w:p>
    <w:p>
      <w:pPr>
        <w:ind w:right="600"/>
        <w:spacing w:after="0" w:line="275" w:lineRule="auto"/>
        <w:rPr>
          <w:sz w:val="20"/>
          <w:szCs w:val="20"/>
          <w:color w:val="auto"/>
        </w:rPr>
      </w:pPr>
      <w:r>
        <w:rPr>
          <w:rFonts w:ascii="Arial" w:cs="Arial" w:eastAsia="Arial" w:hAnsi="Arial"/>
          <w:sz w:val="16"/>
          <w:szCs w:val="16"/>
          <w:color w:val="auto"/>
        </w:rPr>
        <w:t>Total stockholders’ equity as of March 31, 2026, was $373.3 million, compared to $365.2 million as of December 31, 2025. The $8.2 million, or 2.2%, increase in stockholders’ equity was attributable to $12.0 million of net income for the three months ended March 31, 2026, and $160,000 of stock compensation, partially offset by a $2.3 million, net of tax, market adjustment to AOCI related to securities and $1.6 million in cash dividends.</w:t>
      </w:r>
    </w:p>
    <w:p>
      <w:pPr>
        <w:spacing w:after="0" w:line="8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In 2022, we reclassified $166.3 million, net of $17.9 million of unrealized loss, from securities AFS to securities HTM. The securities were transferred at fair value, which became the cost basis for the securities HTM. At the date of the transfer, the net unrealized loss of $17.9 million, of which $14.2 million, net of tax, was included in AOCI and is being amortized over the remaining life of the securities as a yield adjustment, in a manner consistent with the amortization or accretion of the original purchase premium or discount on the associated security. There were no gains or losses recognized as a result of the transfer. As of March 31, 2026, the net unamortized, unrealized loss remaining on the transferred securities included in the consolidated balance sheets totaled $11.4 million, of which $9.0 million, net of tax, was included in AOCI.</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On December 18, 2025, our board of directors approved the renewal and increase of the 2025 stock repurchase program that expired on December 31, 2025. The renewed and increased 2026 stock repurchase program authorizes us to purchase up to $10.0 million of our outstanding shares of common stock from January 1, 2026 through December 31, 2026. Repurchases may be made from time to time in the open market at prevailing prices and based on market conditions, or in privately negotiated transactions.</w:t>
      </w:r>
    </w:p>
    <w:p>
      <w:pPr>
        <w:spacing w:after="0" w:line="73"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For the three months ended March 31, 2026, we did not repurchase any shares of our common stock under the stock repurchase program. As of March 31, 2026, we had $10.0 million available for repurchasing our common stock under the 2026 stock repurchase program.</w:t>
      </w:r>
    </w:p>
    <w:p>
      <w:pPr>
        <w:spacing w:after="0" w:line="47"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Effective January 1, 2023, stock repurchases are subject to a nondeductible excise tax under the Inflation Reduction Act of 2022 equal to 1.0% of the fair market value of the shares repurchased, subject to certain limitations.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Regulatory Capital Requirements</w:t>
      </w:r>
    </w:p>
    <w:p>
      <w:pPr>
        <w:spacing w:after="0" w:line="138" w:lineRule="exact"/>
        <w:rPr>
          <w:sz w:val="20"/>
          <w:szCs w:val="20"/>
          <w:color w:val="auto"/>
        </w:rPr>
      </w:pPr>
    </w:p>
    <w:p>
      <w:pPr>
        <w:jc w:val="both"/>
        <w:ind w:right="60"/>
        <w:spacing w:after="0" w:line="275" w:lineRule="auto"/>
        <w:rPr>
          <w:sz w:val="20"/>
          <w:szCs w:val="20"/>
          <w:color w:val="auto"/>
        </w:rPr>
      </w:pPr>
      <w:r>
        <w:rPr>
          <w:rFonts w:ascii="Arial" w:cs="Arial" w:eastAsia="Arial" w:hAnsi="Arial"/>
          <w:sz w:val="16"/>
          <w:szCs w:val="16"/>
          <w:color w:val="auto"/>
        </w:rPr>
        <w:t>Capital management consists of maintaining equity and other instruments that qualify as regulatory capital to support current and future operations. Banking regulators view capital levels as important indicators of an institution’s financial soundness. As a general matter, bank holding companies and FDIC-insured depository institutions are required to maintain minimum capital relative to the amount and types of assets they hold.</w:t>
      </w:r>
    </w:p>
    <w:p>
      <w:pPr>
        <w:spacing w:after="0" w:line="83"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As we deploy our capital and continue to grow our operations, our capital levels may decrease depending on our level of earnings. However, we expect to monitor and control our growth in order to remain in compliance with all regulatory capital standards applicable to us.</w:t>
      </w:r>
    </w:p>
    <w:p>
      <w:pPr>
        <w:spacing w:after="0" w:line="75"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For additional information on regulatory capital guidelines and limits for the Bank and the Company, see “Item 1. Financial Statements - Notes to the Unaudited Consolidated Financial Statements - Note 8. Regulatory Capital Requirements.”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ASSET-LIABILITY MANAGEMENT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2026, we had sufficient liquid assets available and $1.77 billion accessible from other liquidity sources.</w:t>
      </w:r>
    </w:p>
    <w:p>
      <w:pPr>
        <w:spacing w:after="0" w:line="140"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Liquidity involves our ability to raise funds to support asset growth and potential acquisitions, reduce assets to meet deposit withdrawals and other payment obligations, maintain reserve requirements, and otherwise operate on an ongoing basis and manage unexpected events. For the three months ended March 31, 2026, and the year ended December 31, 2025, liquidity needs were primarily met by core deposits, security and loan maturities, and cash flows from amortizing security and loan portfolios. While maturities and scheduled amortization of loans are predictable sources of funds, deposit outflows, mortgage prepayments, and prepayments on amortizing securities are greatly influenced by market interest rates, economic conditions, and the competitive environment in which we operate; therefore, these cash flows are monitored regularly.</w:t>
      </w:r>
    </w:p>
    <w:p>
      <w:pPr>
        <w:spacing w:after="0" w:line="95" w:lineRule="exact"/>
        <w:rPr>
          <w:sz w:val="20"/>
          <w:szCs w:val="20"/>
          <w:color w:val="auto"/>
        </w:rPr>
      </w:pPr>
    </w:p>
    <w:p>
      <w:pPr>
        <w:ind w:right="640"/>
        <w:spacing w:after="0" w:line="266" w:lineRule="auto"/>
        <w:rPr>
          <w:sz w:val="20"/>
          <w:szCs w:val="20"/>
          <w:color w:val="auto"/>
        </w:rPr>
      </w:pPr>
      <w:r>
        <w:rPr>
          <w:rFonts w:ascii="Arial" w:cs="Arial" w:eastAsia="Arial" w:hAnsi="Arial"/>
          <w:sz w:val="16"/>
          <w:szCs w:val="16"/>
          <w:color w:val="auto"/>
        </w:rPr>
        <w:t>Liquidity levels are dependent on our operating, financing, lending, and investing activities during any given period. Access to purchased funds from correspondent banks and overnight advances from the FHLB and the Federal Reserve Bank of Atlanta are also available. Purchased funds from correspondent banks and overnight advances can be utilized to meet funding obligations.</w:t>
      </w:r>
    </w:p>
    <w:p>
      <w:pPr>
        <w:spacing w:after="0" w:line="90"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Our primary source of funds is deposits, and our primary use of funds is the funding of loans. We invest excess deposits in interest-earning deposit accounts at other banks or at the Federal Reserve, federal funds sold, securities, or other short-term liquid investments until the deposits are needed to fund loan growth or other obligations. Our average deposits increased $126.0 million, or 4.4%, for the first quarter of 2026, compared to the average deposits for the twelve months ended December 31, 2025. The increase in average total deposits was primarily a result of higher balances in customer deposit accounts, partially offset by the seasonal outflow of funds from public entity customers. Our average total loans increased $110.2 million, or 5.1%, for the first quarter of 2026, compared to average total loans for the twelve months ended December 31, 2025. The increase in average total loans was primarily due to the increase in real estate and commercial and industrial activity.</w:t>
      </w:r>
    </w:p>
    <w:p>
      <w:pPr>
        <w:spacing w:after="0" w:line="187" w:lineRule="exact"/>
        <w:rPr>
          <w:sz w:val="20"/>
          <w:szCs w:val="20"/>
          <w:color w:val="auto"/>
        </w:rPr>
      </w:pPr>
    </w:p>
    <w:p>
      <w:pPr>
        <w:jc w:val="both"/>
        <w:ind w:right="180"/>
        <w:spacing w:after="0" w:line="257" w:lineRule="auto"/>
        <w:rPr>
          <w:sz w:val="20"/>
          <w:szCs w:val="20"/>
          <w:color w:val="auto"/>
        </w:rPr>
      </w:pPr>
      <w:r>
        <w:rPr>
          <w:rFonts w:ascii="Arial" w:cs="Arial" w:eastAsia="Arial" w:hAnsi="Arial"/>
          <w:sz w:val="16"/>
          <w:szCs w:val="16"/>
          <w:color w:val="auto"/>
        </w:rPr>
        <w:t>As of March 31, 2026, liquid assets were $210.5 million, compared to $213.4 million as of December 31, 2025. The decrease of $2.9 million, or 1.3%, was primarily due to the reduction in customer deposit accounts and the funding of loans, partially offset by the net cash flow from securities during the quarter. The liquid assets to assets ratio was 6.29% as of March 31, 2026, compared to 6.37% as of December 31, 2025.</w:t>
      </w:r>
    </w:p>
    <w:p>
      <w:pPr>
        <w:spacing w:after="0" w:line="97"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Our securities portfolio is an alternative source for meeting liquidity needs and was our second-largest component of assets as of March 31, 2026. The securities portfolio generates cash flow through principal repayments, calls, and maturities, and certain securities can be sold or used as collateral in borrowings that allow for their conversion to cash. Securities AFS can generally be sold, while securities HTM have significant restrictions related to sales. As of March 31, 2026, we project receipt of approximately $90.9 million of principal repayments and maturities through December 31, 2026. As of March 31, 2026, approximately $525.6 million, or 70.8%, of the fair value of the securities portfolio was available to be sold or to be used as collateral in borrowings as a liquidity source.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also utilize the FHLB as needed as a viable funding source. FHLB advances may be used to meet the Bank’s liquidity needs, particularly if the prevailing interest rate on an FHLB advance compares favorably to the rates that would be required to attract the necessary deposits. We currently are classified as having “blanket lien collateral status,” which means that advances can be executed at any time without further collateral requirements. As of March 31, 2026 and December 31, 2025, our net borrowing capacity from the FHLB was $1.02 billion and $906.6 million, respectively. There were no outstanding borrowings from the FHLB as of March 31, 2026 and December 31, 2025.</w:t>
      </w:r>
    </w:p>
    <w:p>
      <w:pPr>
        <w:spacing w:after="0" w:line="91"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Another borrowing source is the Federal Reserve Bank’s Discount Window. The Bank has pledged securities to have borrowing access to the Federal Reserve Bank’s Discount Window. In addition, the Bank has been approved for the BIC program, which provides borrowing capacity through the pledging of eligible Red River Bank loans that are not pledged to the FHLB. As of March 31, 2026, we had a total borrowing capacity of $121.7 million, including $82.4 million through the BIC program, compared to a total borrowing capacity of $125.5 million, including $85.1 million through the BIC program as of December 31, 2025. There were no outstanding borrowings from the Federal Reserve Bank’s Discount Window as of March 31, 2026 and December 31, 2025.</w:t>
      </w:r>
    </w:p>
    <w:p>
      <w:pPr>
        <w:spacing w:after="0" w:line="278" w:lineRule="exact"/>
        <w:rPr>
          <w:sz w:val="20"/>
          <w:szCs w:val="20"/>
          <w:color w:val="auto"/>
        </w:rPr>
      </w:pPr>
    </w:p>
    <w:p>
      <w:pPr>
        <w:jc w:val="both"/>
        <w:ind w:right="120"/>
        <w:spacing w:after="0" w:line="265" w:lineRule="auto"/>
        <w:rPr>
          <w:sz w:val="20"/>
          <w:szCs w:val="20"/>
          <w:color w:val="auto"/>
        </w:rPr>
      </w:pPr>
      <w:r>
        <w:rPr>
          <w:rFonts w:ascii="Arial" w:cs="Arial" w:eastAsia="Arial" w:hAnsi="Arial"/>
          <w:sz w:val="16"/>
          <w:szCs w:val="16"/>
          <w:color w:val="auto"/>
        </w:rPr>
        <w:t>Other sources available for meeting liquidity needs include federal funds lines, repurchase agreements, and other lines of credit. We maintain four federal funds lines of credit with commercial banks that provided for the availability to borrow up to an aggregate of $100.0 million in federal funds as of March 31, 2026, and December 31, 2025. The rates for the federal funds lines are determined by the applicable commercial bank at the time of borrowing. We had no outstanding balances from these sources as of March 31, 2026 and December 31, 2025.</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Commitments to Extend Credit</w:t>
      </w:r>
    </w:p>
    <w:p>
      <w:pPr>
        <w:spacing w:after="0" w:line="13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In the normal course of business, we enter into certain financial instruments, such as commitments to extend credit and letters of credit, to meet the financing needs of our customers. These commitments involve elements of credit risk, interest rate risk, and liquidity risk. Some instruments may not be reflected in the accompanying consolidated financial statements until they are funded, although they expose us to varying degrees of credit risk and interest rate risk in much the same way as funded loans.</w:t>
      </w:r>
    </w:p>
    <w:p>
      <w:pPr>
        <w:spacing w:after="0" w:line="92"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Commitments to extend credit are agreements to lend to a customer if all conditions of the commitment have been met. Commitments include revolving and nonrevolving credit lines and are primarily issued for commercial purposes. Commitments to extend credit generally have fixed expiration dates or other termination clauses. Standby letters of credit are conditional commitments issued to guarantee the performance of a customer to a third party. Those guarantees are primarily issued to support public and private borrowing arrangements, including commercial paper, bond financing, and similar transactions.</w:t>
      </w:r>
    </w:p>
    <w:p>
      <w:pPr>
        <w:spacing w:after="0" w:line="9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As of March 31, 2026, we had $541.0 million in unfunded loan commitments and $14.7 million in commitments associated with outstanding standby letters of credit. As of December 31, 2025, we had $545.7 million in unfunded loan commitments and $14.5 million in commitments associated with outstanding standby letters of credit. As commitments associated with letters of credit and commitments to extend credit may expire unused, the total outstanding commitments may not necessarily reflect the actual future cash funding requirements.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Investment Commitments</w:t>
      </w:r>
    </w:p>
    <w:p>
      <w:pPr>
        <w:spacing w:after="0" w:line="125" w:lineRule="exact"/>
        <w:rPr>
          <w:sz w:val="20"/>
          <w:szCs w:val="20"/>
          <w:color w:val="auto"/>
        </w:rPr>
      </w:pPr>
    </w:p>
    <w:p>
      <w:pPr>
        <w:ind w:right="660"/>
        <w:spacing w:after="0" w:line="304" w:lineRule="auto"/>
        <w:rPr>
          <w:sz w:val="20"/>
          <w:szCs w:val="20"/>
          <w:color w:val="auto"/>
        </w:rPr>
      </w:pPr>
      <w:r>
        <w:rPr>
          <w:rFonts w:ascii="Arial" w:cs="Arial" w:eastAsia="Arial" w:hAnsi="Arial"/>
          <w:sz w:val="16"/>
          <w:szCs w:val="16"/>
          <w:color w:val="auto"/>
        </w:rPr>
        <w:t>We are party to various investment commitments in the normal course of business. Our exposure is represented by the contractual amount of these commitments.</w:t>
      </w:r>
    </w:p>
    <w:p>
      <w:pPr>
        <w:spacing w:after="0" w:line="47" w:lineRule="exact"/>
        <w:rPr>
          <w:sz w:val="20"/>
          <w:szCs w:val="20"/>
          <w:color w:val="auto"/>
        </w:rPr>
      </w:pPr>
    </w:p>
    <w:p>
      <w:pPr>
        <w:ind w:right="460"/>
        <w:spacing w:after="0" w:line="304" w:lineRule="auto"/>
        <w:rPr>
          <w:sz w:val="20"/>
          <w:szCs w:val="20"/>
          <w:color w:val="auto"/>
        </w:rPr>
      </w:pPr>
      <w:r>
        <w:rPr>
          <w:rFonts w:ascii="Arial" w:cs="Arial" w:eastAsia="Arial" w:hAnsi="Arial"/>
          <w:sz w:val="16"/>
          <w:szCs w:val="16"/>
          <w:color w:val="auto"/>
        </w:rPr>
        <w:t>In 2014, we committed to an investment into an SBIC limited partnership. As of March 31, 2026, there was a $226,000 outstanding commitment to this partnership. In 2025, this fund began its wind-down phase.</w:t>
      </w:r>
    </w:p>
    <w:p>
      <w:pPr>
        <w:spacing w:after="0" w:line="60"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 2020, we committed to a second investment into an SBIC limited partnership. As of March 31, 2026, there was a $1.9 million outstanding commitment to this partnership.</w:t>
      </w:r>
    </w:p>
    <w:p>
      <w:pPr>
        <w:spacing w:after="0" w:line="7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In 2021, we committed to an investment into JAM FINTOP, a bank technology limited partnership. As of March 31, 2026, there was a $277,000 outstanding commitment to this partnership.</w:t>
      </w:r>
    </w:p>
    <w:p>
      <w:pPr>
        <w:spacing w:after="0" w:line="75"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On September 26, 2025, we committed to a third investment into an SBIC limited partnership. As of March 31, 2026, there was a $2.4 million outstanding commitment to this partnership.</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Construction Commitments</w:t>
      </w:r>
    </w:p>
    <w:p>
      <w:pPr>
        <w:spacing w:after="0" w:line="138"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The Company has two committed construction agreements to construct a new lending headquarters building in the Northwest market and a new banking center in the Acadiana market. There was approximately $2.7 million remaining on these commitments as of March 31, 2026.</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Sensitivity and Market Risk</w:t>
      </w:r>
    </w:p>
    <w:p>
      <w:pPr>
        <w:spacing w:after="0" w:line="125"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As a financial institution, our primary component of market risk is interest rate volatility. Our asset-liability management policies provide management with guidelines for effective funds management, and we have established a measurement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620"/>
        <w:spacing w:after="0" w:line="304" w:lineRule="auto"/>
        <w:rPr>
          <w:sz w:val="20"/>
          <w:szCs w:val="20"/>
          <w:color w:val="auto"/>
        </w:rPr>
      </w:pPr>
      <w:r>
        <w:rPr>
          <w:rFonts w:ascii="Arial" w:cs="Arial" w:eastAsia="Arial" w:hAnsi="Arial"/>
          <w:sz w:val="16"/>
          <w:szCs w:val="16"/>
          <w:color w:val="auto"/>
        </w:rPr>
        <w:t>system for monitoring our net interest rate sensitivity position. We have historically managed our rate sensitivity position within our established policy guidelines.</w:t>
      </w:r>
    </w:p>
    <w:p>
      <w:pPr>
        <w:spacing w:after="0" w:line="47"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Fluctuations in interest rates will ultimately impact both the level of income and expense recorded on most of our assets and liabilities and the market value of all interest-earning assets and interest-bearing liabilities, other than those that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9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We manage exposure to interest rates by structuring the balance sheet appropriately during the ordinary course of business. We have the ability to enter into interest rate swaps to mitigate interest rate risk in limited circumstances, but it is not our policy to enter into such transactions on a regular basis. We do not enter into instruments such as financial options, financial futures contracts, or forward delivery contracts for the purpose of reducing interest rate risk. We are not subject to foreign exchange risk, and our commodity price risk is immaterial, as the percentage of our agricultural loans to loans HFI was only 0.52% as of March 31, 2026.</w:t>
      </w:r>
    </w:p>
    <w:p>
      <w:pPr>
        <w:spacing w:after="0" w:line="97"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Our exposure to interest rate risk is managed by the Bank’s Asset-Liability Management Committee. The committee formulates strategies based on appropriate levels of interest rate risk and monitors the results of those strategies. In determining the appropriate level of interest rate risk, the committee considers the impact on both earnings and capital given the current outlook on interest rates, regional economies, liquidity, business strategies, and other related factors.</w:t>
      </w:r>
    </w:p>
    <w:p>
      <w:pPr>
        <w:spacing w:after="0" w:line="9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committee meets quarterly to review, among other things, the sensitivity of assets and liabilities to interest rate changes, the book and economic values of assets and liabilities, unrealized gains and losses, purchase and sale activities, commitments to originate loans, and the maturities of investments and borrowings. Additionally, the committee reviews liquidity, cash flow flexibility, maturities of deposits, and consumer and commercial deposit activity. We employ methodologies to manage interest rate risk, which include an analysis of relationships between interest-earning assets and interest-bearing liabilities, as well as an interest rate simulation model and shock analysis.</w:t>
      </w:r>
    </w:p>
    <w:p>
      <w:pPr>
        <w:spacing w:after="0" w:line="97"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In conjunction with our interest rate risk management process, on a quarterly basis, we run various simulations within a static balance sheet model. This model tests the impact on net interest income and fair value of equity from changes in market interest rates under various scenarios. We use parallel rate shock scenarios that assume instantaneous parallel movements in the yield curve compared to a flat yield curve scenario. We also deploy a ramped rate scenario over a 12-month and 24-month horizon based upon parallel yield curve shifts. Our nonparallel rate shock model simulation involves analysis of interest income and expense under various changes in the shape of the yield curve. Contractual maturities and repricing opportunities of loans are incorporated into the model, as are prepayment assumptions and maturity date and call options within the securities portfolio. The average life of non-maturity deposit accounts are based on assumptions developed from non-maturity deposit decay studies, which calculate average lives using historic closure rates.</w:t>
      </w:r>
    </w:p>
    <w:p>
      <w:pPr>
        <w:spacing w:after="0" w:line="99"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Bank policy regarding interest rate risk simulations performed by our risk model currently specifies that for instantaneous parallel shifts of the yield curve, estimated net interest income at risk for the subsequent one-year period should not decline by more than 10.0% for a 100 bp shift, 15.0% for a 200 bp shift, and 20.0% for a 300 bp shift. In accordance with Bank policy regarding economic value at risk simulations performed by our risk model for instantaneous parallel shifts of the yield curve, estimated fair value of equity for the subsequent one-year period should not decline by more than 10.0% for a 100 bp shift, 20.0% for a 200 bp shift, and 30.0% for a 300 bp shift.</w:t>
      </w:r>
    </w:p>
    <w:p>
      <w:pPr>
        <w:spacing w:after="0" w:line="9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following table shows the impact of an instantaneous and parallel change in rates, at the levels indicated, and summarizes the simulated change in net interest income and fair value of equity over a 12-month horizon as of the dates indicated.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80" w:type="dxa"/>
            <w:vAlign w:val="bottom"/>
          </w:tcPr>
          <w:p>
            <w:pPr>
              <w:spacing w:after="0"/>
              <w:rPr>
                <w:sz w:val="18"/>
                <w:szCs w:val="18"/>
                <w:color w:val="auto"/>
              </w:rPr>
            </w:pPr>
          </w:p>
        </w:tc>
        <w:tc>
          <w:tcPr>
            <w:tcW w:w="3300" w:type="dxa"/>
            <w:vAlign w:val="bottom"/>
            <w:tcBorders>
              <w:bottom w:val="single" w:sz="8" w:color="auto"/>
            </w:tcBorders>
            <w:gridSpan w:val="3"/>
          </w:tcPr>
          <w:p>
            <w:pPr>
              <w:jc w:val="right"/>
              <w:ind w:right="999"/>
              <w:spacing w:after="0"/>
              <w:rPr>
                <w:sz w:val="20"/>
                <w:szCs w:val="20"/>
                <w:color w:val="auto"/>
              </w:rPr>
            </w:pPr>
            <w:r>
              <w:rPr>
                <w:rFonts w:ascii="Arial" w:cs="Arial" w:eastAsia="Arial" w:hAnsi="Arial"/>
                <w:sz w:val="16"/>
                <w:szCs w:val="16"/>
                <w:b w:val="1"/>
                <w:bCs w:val="1"/>
                <w:color w:val="auto"/>
              </w:rPr>
              <w:t>March 31, 2026</w:t>
            </w:r>
          </w:p>
        </w:tc>
        <w:tc>
          <w:tcPr>
            <w:tcW w:w="160" w:type="dxa"/>
            <w:vAlign w:val="bottom"/>
          </w:tcPr>
          <w:p>
            <w:pPr>
              <w:spacing w:after="0"/>
              <w:rPr>
                <w:sz w:val="18"/>
                <w:szCs w:val="18"/>
                <w:color w:val="auto"/>
              </w:rPr>
            </w:pPr>
          </w:p>
        </w:tc>
        <w:tc>
          <w:tcPr>
            <w:tcW w:w="3300" w:type="dxa"/>
            <w:vAlign w:val="bottom"/>
            <w:tcBorders>
              <w:bottom w:val="single" w:sz="8" w:color="auto"/>
            </w:tcBorders>
            <w:gridSpan w:val="3"/>
          </w:tcPr>
          <w:p>
            <w:pPr>
              <w:jc w:val="right"/>
              <w:ind w:right="839"/>
              <w:spacing w:after="0"/>
              <w:rPr>
                <w:sz w:val="20"/>
                <w:szCs w:val="20"/>
                <w:color w:val="auto"/>
              </w:rPr>
            </w:pPr>
            <w:r>
              <w:rPr>
                <w:rFonts w:ascii="Arial" w:cs="Arial" w:eastAsia="Arial" w:hAnsi="Arial"/>
                <w:sz w:val="16"/>
                <w:szCs w:val="16"/>
                <w:b w:val="1"/>
                <w:bCs w:val="1"/>
                <w:color w:val="auto"/>
              </w:rPr>
              <w:t>December 31, 2025</w:t>
            </w:r>
          </w:p>
        </w:tc>
      </w:tr>
      <w:tr>
        <w:trPr>
          <w:trHeight w:val="169"/>
        </w:trPr>
        <w:tc>
          <w:tcPr>
            <w:tcW w:w="4480" w:type="dxa"/>
            <w:vAlign w:val="bottom"/>
          </w:tcPr>
          <w:p>
            <w:pPr>
              <w:spacing w:after="0"/>
              <w:rPr>
                <w:sz w:val="14"/>
                <w:szCs w:val="14"/>
                <w:color w:val="auto"/>
              </w:rPr>
            </w:pPr>
          </w:p>
        </w:tc>
        <w:tc>
          <w:tcPr>
            <w:tcW w:w="1720" w:type="dxa"/>
            <w:vAlign w:val="bottom"/>
            <w:gridSpan w:val="2"/>
          </w:tcPr>
          <w:p>
            <w:pPr>
              <w:jc w:val="center"/>
              <w:ind w:right="140"/>
              <w:spacing w:after="0" w:line="169" w:lineRule="exact"/>
              <w:rPr>
                <w:sz w:val="20"/>
                <w:szCs w:val="20"/>
                <w:color w:val="auto"/>
              </w:rPr>
            </w:pPr>
            <w:r>
              <w:rPr>
                <w:rFonts w:ascii="Arial" w:cs="Arial" w:eastAsia="Arial" w:hAnsi="Arial"/>
                <w:sz w:val="16"/>
                <w:szCs w:val="16"/>
                <w:b w:val="1"/>
                <w:bCs w:val="1"/>
                <w:color w:val="auto"/>
              </w:rPr>
              <w:t>% Change in</w:t>
            </w:r>
          </w:p>
        </w:tc>
        <w:tc>
          <w:tcPr>
            <w:tcW w:w="1740" w:type="dxa"/>
            <w:vAlign w:val="bottom"/>
            <w:gridSpan w:val="2"/>
          </w:tcPr>
          <w:p>
            <w:pPr>
              <w:jc w:val="center"/>
              <w:ind w:right="160"/>
              <w:spacing w:after="0" w:line="169" w:lineRule="exact"/>
              <w:rPr>
                <w:sz w:val="20"/>
                <w:szCs w:val="20"/>
                <w:color w:val="auto"/>
              </w:rPr>
            </w:pPr>
            <w:r>
              <w:rPr>
                <w:rFonts w:ascii="Arial" w:cs="Arial" w:eastAsia="Arial" w:hAnsi="Arial"/>
                <w:sz w:val="16"/>
                <w:szCs w:val="16"/>
                <w:b w:val="1"/>
                <w:bCs w:val="1"/>
                <w:color w:val="auto"/>
              </w:rPr>
              <w:t>% Change in</w:t>
            </w:r>
          </w:p>
        </w:tc>
        <w:tc>
          <w:tcPr>
            <w:tcW w:w="1720" w:type="dxa"/>
            <w:vAlign w:val="bottom"/>
            <w:gridSpan w:val="2"/>
          </w:tcPr>
          <w:p>
            <w:pPr>
              <w:jc w:val="center"/>
              <w:ind w:right="160"/>
              <w:spacing w:after="0" w:line="169" w:lineRule="exact"/>
              <w:rPr>
                <w:sz w:val="20"/>
                <w:szCs w:val="20"/>
                <w:color w:val="auto"/>
              </w:rPr>
            </w:pPr>
            <w:r>
              <w:rPr>
                <w:rFonts w:ascii="Arial" w:cs="Arial" w:eastAsia="Arial" w:hAnsi="Arial"/>
                <w:sz w:val="16"/>
                <w:szCs w:val="16"/>
                <w:b w:val="1"/>
                <w:bCs w:val="1"/>
                <w:color w:val="auto"/>
                <w:w w:val="99"/>
              </w:rPr>
              <w:t>% Change in</w:t>
            </w:r>
          </w:p>
        </w:tc>
        <w:tc>
          <w:tcPr>
            <w:tcW w:w="158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rPr>
              <w:t>% Change in</w:t>
            </w:r>
          </w:p>
        </w:tc>
      </w:tr>
      <w:tr>
        <w:trPr>
          <w:trHeight w:val="162"/>
        </w:trPr>
        <w:tc>
          <w:tcPr>
            <w:tcW w:w="4480" w:type="dxa"/>
            <w:vAlign w:val="bottom"/>
          </w:tcPr>
          <w:p>
            <w:pPr>
              <w:spacing w:after="0"/>
              <w:rPr>
                <w:sz w:val="14"/>
                <w:szCs w:val="14"/>
                <w:color w:val="auto"/>
              </w:rPr>
            </w:pPr>
          </w:p>
        </w:tc>
        <w:tc>
          <w:tcPr>
            <w:tcW w:w="172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rPr>
              <w:t>Net Interest</w:t>
            </w:r>
          </w:p>
        </w:tc>
        <w:tc>
          <w:tcPr>
            <w:tcW w:w="174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9"/>
              </w:rPr>
              <w:t>Fair Value</w:t>
            </w:r>
          </w:p>
        </w:tc>
        <w:tc>
          <w:tcPr>
            <w:tcW w:w="172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99"/>
              </w:rPr>
              <w:t>Net Interest</w:t>
            </w:r>
          </w:p>
        </w:tc>
        <w:tc>
          <w:tcPr>
            <w:tcW w:w="1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Fair Value</w:t>
            </w:r>
          </w:p>
        </w:tc>
      </w:tr>
      <w:tr>
        <w:trPr>
          <w:trHeight w:val="216"/>
        </w:trPr>
        <w:tc>
          <w:tcPr>
            <w:tcW w:w="4480" w:type="dxa"/>
            <w:vAlign w:val="bottom"/>
          </w:tcPr>
          <w:p>
            <w:pPr>
              <w:spacing w:after="0"/>
              <w:rPr>
                <w:sz w:val="18"/>
                <w:szCs w:val="18"/>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Income</w:t>
            </w:r>
          </w:p>
        </w:tc>
        <w:tc>
          <w:tcPr>
            <w:tcW w:w="17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of Equity</w:t>
            </w:r>
          </w:p>
        </w:tc>
        <w:tc>
          <w:tcPr>
            <w:tcW w:w="17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9"/>
              </w:rPr>
              <w:t>Income</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of Equity</w:t>
            </w:r>
          </w:p>
        </w:tc>
      </w:tr>
      <w:tr>
        <w:trPr>
          <w:trHeight w:val="209"/>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Change in Interest Rates (Bps)</w:t>
            </w:r>
          </w:p>
        </w:tc>
        <w:tc>
          <w:tcPr>
            <w:tcW w:w="1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15"/>
        </w:trPr>
        <w:tc>
          <w:tcPr>
            <w:tcW w:w="4480" w:type="dxa"/>
            <w:vAlign w:val="bottom"/>
          </w:tcPr>
          <w:p>
            <w:pPr>
              <w:ind w:left="260"/>
              <w:spacing w:after="0"/>
              <w:rPr>
                <w:sz w:val="20"/>
                <w:szCs w:val="20"/>
                <w:color w:val="auto"/>
              </w:rPr>
            </w:pPr>
            <w:r>
              <w:rPr>
                <w:rFonts w:ascii="Arial" w:cs="Arial" w:eastAsia="Arial" w:hAnsi="Arial"/>
                <w:sz w:val="16"/>
                <w:szCs w:val="16"/>
                <w:color w:val="auto"/>
              </w:rPr>
              <w:t>+300</w:t>
            </w:r>
          </w:p>
        </w:tc>
        <w:tc>
          <w:tcPr>
            <w:tcW w:w="1580" w:type="dxa"/>
            <w:vAlign w:val="bottom"/>
          </w:tcPr>
          <w:p>
            <w:pPr>
              <w:jc w:val="right"/>
              <w:spacing w:after="0"/>
              <w:rPr>
                <w:sz w:val="20"/>
                <w:szCs w:val="20"/>
                <w:color w:val="auto"/>
              </w:rPr>
            </w:pPr>
            <w:r>
              <w:rPr>
                <w:rFonts w:ascii="Arial" w:cs="Arial" w:eastAsia="Arial" w:hAnsi="Arial"/>
                <w:sz w:val="16"/>
                <w:szCs w:val="16"/>
                <w:color w:val="auto"/>
              </w:rPr>
              <w:t>5.2%</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0.7%</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5.3%</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44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+200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4480" w:type="dxa"/>
            <w:vAlign w:val="bottom"/>
          </w:tcPr>
          <w:p>
            <w:pPr>
              <w:ind w:left="260"/>
              <w:spacing w:after="0"/>
              <w:rPr>
                <w:sz w:val="20"/>
                <w:szCs w:val="20"/>
                <w:color w:val="auto"/>
              </w:rPr>
            </w:pPr>
            <w:r>
              <w:rPr>
                <w:rFonts w:ascii="Arial" w:cs="Arial" w:eastAsia="Arial" w:hAnsi="Arial"/>
                <w:sz w:val="16"/>
                <w:szCs w:val="16"/>
                <w:color w:val="auto"/>
              </w:rPr>
              <w:t>+100</w:t>
            </w:r>
          </w:p>
        </w:tc>
        <w:tc>
          <w:tcPr>
            <w:tcW w:w="1580" w:type="dxa"/>
            <w:vAlign w:val="bottom"/>
          </w:tcPr>
          <w:p>
            <w:pPr>
              <w:jc w:val="right"/>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7"/>
        </w:trPr>
        <w:tc>
          <w:tcPr>
            <w:tcW w:w="44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Base</w:t>
            </w:r>
          </w:p>
        </w:tc>
        <w:tc>
          <w:tcPr>
            <w:tcW w:w="172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480" w:type="dxa"/>
            <w:vAlign w:val="bottom"/>
          </w:tcPr>
          <w:p>
            <w:pPr>
              <w:ind w:left="260"/>
              <w:spacing w:after="0"/>
              <w:rPr>
                <w:sz w:val="20"/>
                <w:szCs w:val="20"/>
                <w:color w:val="auto"/>
              </w:rPr>
            </w:pPr>
            <w:r>
              <w:rPr>
                <w:rFonts w:ascii="Arial" w:cs="Arial" w:eastAsia="Arial" w:hAnsi="Arial"/>
                <w:sz w:val="16"/>
                <w:szCs w:val="16"/>
                <w:color w:val="auto"/>
              </w:rPr>
              <w:t>-100</w:t>
            </w:r>
          </w:p>
        </w:tc>
        <w:tc>
          <w:tcPr>
            <w:tcW w:w="1580" w:type="dxa"/>
            <w:vAlign w:val="bottom"/>
          </w:tcPr>
          <w:p>
            <w:pPr>
              <w:jc w:val="right"/>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7"/>
        </w:trPr>
        <w:tc>
          <w:tcPr>
            <w:tcW w:w="44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-200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15"/>
        </w:trPr>
        <w:tc>
          <w:tcPr>
            <w:tcW w:w="4480" w:type="dxa"/>
            <w:vAlign w:val="bottom"/>
          </w:tcPr>
          <w:p>
            <w:pPr>
              <w:ind w:left="260"/>
              <w:spacing w:after="0"/>
              <w:rPr>
                <w:sz w:val="20"/>
                <w:szCs w:val="20"/>
                <w:color w:val="auto"/>
              </w:rPr>
            </w:pPr>
            <w:r>
              <w:rPr>
                <w:rFonts w:ascii="Arial" w:cs="Arial" w:eastAsia="Arial" w:hAnsi="Arial"/>
                <w:sz w:val="16"/>
                <w:szCs w:val="16"/>
                <w:color w:val="auto"/>
              </w:rPr>
              <w:t>-300</w:t>
            </w:r>
          </w:p>
        </w:tc>
        <w:tc>
          <w:tcPr>
            <w:tcW w:w="1580" w:type="dxa"/>
            <w:vAlign w:val="bottom"/>
          </w:tcPr>
          <w:p>
            <w:pPr>
              <w:jc w:val="right"/>
              <w:spacing w:after="0"/>
              <w:rPr>
                <w:sz w:val="20"/>
                <w:szCs w:val="20"/>
                <w:color w:val="auto"/>
              </w:rPr>
            </w:pPr>
            <w:r>
              <w:rPr>
                <w:rFonts w:ascii="Arial" w:cs="Arial" w:eastAsia="Arial" w:hAnsi="Arial"/>
                <w:sz w:val="16"/>
                <w:szCs w:val="16"/>
                <w:color w:val="auto"/>
              </w:rPr>
              <w:t>(8.3%)</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(14.4%)</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(8.1%)</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(16.0%)</w:t>
            </w: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results above, as of March 31, 2026 and December 31, 2025, demonstrate that our balance sheet is asset sensitive, which means our assets have the opportunity to reprice at a faster pace than our liabilities, over the 12-month horizon. Our repricing opportunity is captured in a gap analysis, which is the process by which we measure the repricing gap between interest-rate sensitive assets versus interest rate-sensitive liabilities.</w:t>
      </w:r>
    </w:p>
    <w:p>
      <w:pPr>
        <w:spacing w:after="0" w:line="8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March 31, 2026, the reported percentage of changes in net interest income and fair value of equity remained within the policy thresholds. These values are reported at each quarterly Asset-Liability Management Committee meeting. The net interest income at risk and the fair value of equity will continue to be monitored, and appropriate mitigating action will be taken if needed.</w:t>
      </w:r>
    </w:p>
    <w:p>
      <w:pPr>
        <w:spacing w:after="0" w:line="70"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The impact of our floating rate loans and floating rate transaction deposits are also reflected in the results shown in the above table. As of March 31, 2026, floating rate loans were 20.6% of loans HFI, and floating rate transaction deposits were 9.2% of interest-bearing transaction deposits.</w:t>
      </w:r>
    </w:p>
    <w:p>
      <w:pPr>
        <w:spacing w:after="0" w:line="47"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The assumptions incorporated into the model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 and the slope of the yield curve.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40"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Our accounting and reporting policies conform to GAAP and the prevailing practices in the banking industry. Certain financial measures used by management to evaluate our operating performance are discussed in this Report as supplemental non-GAAP performance measures. In accordance with the SEC’s rules,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U.S.</w:t>
      </w:r>
    </w:p>
    <w:p>
      <w:pPr>
        <w:spacing w:after="0" w:line="7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Management and the board of directors review total tangible common equity, total realized common equity, total tangible assets, tangible book value per share, realized book value per share, and tangible common equity to tangible assets as part of managing operating performance. However, these non-GAAP financial measures that we discuss in this Report should not be considered in isolation or as a substitute for the most directly comparable or other financial measures calculated in accordance with GAAP. Moreover, the manner we calculate the non-GAAP financial measures that are discussed in this Report may differ from that of other companies’ reporting measures with similar names. It is important to understand how such other banking organizations calculate and name their financial measures similar to the non-GAAP financial measures discussed in this Report when comparing such non-GAAP financial measures.</w:t>
      </w:r>
    </w:p>
    <w:p>
      <w:pPr>
        <w:spacing w:after="0" w:line="95"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i w:val="1"/>
          <w:iCs w:val="1"/>
          <w:color w:val="auto"/>
        </w:rPr>
        <w:t>Tangible Book Value Per Share</w:t>
      </w:r>
      <w:r>
        <w:rPr>
          <w:rFonts w:ascii="Arial" w:cs="Arial" w:eastAsia="Arial" w:hAnsi="Arial"/>
          <w:sz w:val="16"/>
          <w:szCs w:val="16"/>
          <w:color w:val="auto"/>
        </w:rPr>
        <w:t>. Tangible book value per share is a non-GAAP measure commonly used by investors, financial analysts, and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bankers to evaluate financial institutions. We believe that this measure is important to many investors in the marketplace who are interested in changes from period to period in book value per share exclusive of changes in intangible assets. We calculate tangible book value per share as total stockholders’ equity, less intangible assets, divided by the outstanding number of shares of our common stock at the end of the relevant period. Intangible assets have the effect of increasing total book value while not increasing tangible book value. The most directly comparable GAAP financial measure for tangible book value per share is book value per share.</w:t>
      </w:r>
    </w:p>
    <w:p>
      <w:pPr>
        <w:spacing w:after="0" w:line="95"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As a result of previous acquisitions, we have a small amount of intangible assets. As of March 31, 2026, total intangible assets were $1.5 million, which is less than 1.0% of total assets.</w:t>
      </w:r>
    </w:p>
    <w:p>
      <w:pPr>
        <w:spacing w:after="0" w:line="75"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i w:val="1"/>
          <w:iCs w:val="1"/>
          <w:color w:val="auto"/>
        </w:rPr>
        <w:t>Tangible Common Equity to Tangible Assets</w:t>
      </w:r>
      <w:r>
        <w:rPr>
          <w:rFonts w:ascii="Arial" w:cs="Arial" w:eastAsia="Arial" w:hAnsi="Arial"/>
          <w:sz w:val="16"/>
          <w:szCs w:val="16"/>
          <w:color w:val="auto"/>
        </w:rPr>
        <w:t>. Tangible common equity to tangible assets is a non-GAAP measure generally used by investors,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analysts, and investment bankers to evaluate financial institutions. We believe that this measure is important to many investors in the marketplace who are interested in the relative changes from period to period of tangible common equity to tangible assets, each exclusive of changes in intangible assets. Intangible assets have the effect of increasing both total stockholders’ equity and assets while not increasing our tangible common equity or tangible assets. We calculate tangible common equity as total stockholders’ equity less intangible assets, and we calculate tangible assets as total assets less intangible assets. The most directly comparable GAAP financial measure for tangible common equity to tangible assets is total common stockholders’ equity to total assets.</w:t>
      </w:r>
    </w:p>
    <w:p>
      <w:pPr>
        <w:spacing w:after="0" w:line="95" w:lineRule="exact"/>
        <w:rPr>
          <w:sz w:val="20"/>
          <w:szCs w:val="20"/>
          <w:color w:val="auto"/>
        </w:rPr>
      </w:pPr>
    </w:p>
    <w:p>
      <w:pPr>
        <w:spacing w:after="0" w:line="259" w:lineRule="auto"/>
        <w:rPr>
          <w:sz w:val="20"/>
          <w:szCs w:val="20"/>
          <w:color w:val="auto"/>
        </w:rPr>
      </w:pPr>
      <w:r>
        <w:rPr>
          <w:rFonts w:ascii="Arial" w:cs="Arial" w:eastAsia="Arial" w:hAnsi="Arial"/>
          <w:sz w:val="16"/>
          <w:szCs w:val="16"/>
          <w:i w:val="1"/>
          <w:iCs w:val="1"/>
          <w:color w:val="auto"/>
        </w:rPr>
        <w:t xml:space="preserve">Realized Book Value Per Share. </w:t>
      </w:r>
      <w:r>
        <w:rPr>
          <w:rFonts w:ascii="Arial" w:cs="Arial" w:eastAsia="Arial" w:hAnsi="Arial"/>
          <w:sz w:val="16"/>
          <w:szCs w:val="16"/>
          <w:color w:val="auto"/>
        </w:rPr>
        <w:t>Realized book value per share is a non-GAAP measure that we use to evaluate our operating performance. We believe that</w:t>
      </w:r>
      <w:r>
        <w:rPr>
          <w:rFonts w:ascii="Arial" w:cs="Arial" w:eastAsia="Arial" w:hAnsi="Arial"/>
          <w:sz w:val="16"/>
          <w:szCs w:val="16"/>
          <w:i w:val="1"/>
          <w:iCs w:val="1"/>
          <w:color w:val="auto"/>
        </w:rPr>
        <w:t xml:space="preserve"> </w:t>
      </w:r>
      <w:r>
        <w:rPr>
          <w:rFonts w:ascii="Arial" w:cs="Arial" w:eastAsia="Arial" w:hAnsi="Arial"/>
          <w:sz w:val="16"/>
          <w:szCs w:val="16"/>
          <w:color w:val="auto"/>
        </w:rPr>
        <w:t>this measure is important because it allows us to monitor changes from period to period in book value per share exclusive of changes in AOCI. Our AOCI is impacted primarily by the unrealized gains and losses on securities AFS. These unrealized gains or losses on securities AFS are driven by market factors and may also be temporary and vary greatly from period to period. Due to the possibly temporary and greatly variable nature of these changes, we find it useful to monitor realized book value per share. We calculate realized book value per share as total stockholders’ equity less AOCI, divided by the outstanding number of shares of our common stock at the end of the relevant period. AOCI has the effect of increasing or decreasing total book value while not increasing or decreasing</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realized book value. The most directly comparable GAAP financial measure for realized book value per share is book value per share.</w:t>
      </w:r>
    </w:p>
    <w:p>
      <w:pPr>
        <w:spacing w:after="0" w:line="140"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The following table reconciles, as of the dates set forth below, stockholders’ equity to tangible common equity, stockholders’ equity to realized common equity, and assets to tangible assets, and presents related resulting ratios.</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6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 except per share data)</w:t>
            </w:r>
          </w:p>
        </w:tc>
        <w:tc>
          <w:tcPr>
            <w:tcW w:w="320" w:type="dxa"/>
            <w:vAlign w:val="bottom"/>
          </w:tcPr>
          <w:p>
            <w:pPr>
              <w:spacing w:after="0"/>
              <w:rPr>
                <w:sz w:val="16"/>
                <w:szCs w:val="16"/>
                <w:color w:val="auto"/>
              </w:rPr>
            </w:pPr>
          </w:p>
        </w:tc>
        <w:tc>
          <w:tcPr>
            <w:tcW w:w="15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16"/>
                <w:szCs w:val="16"/>
                <w:color w:val="auto"/>
              </w:rPr>
            </w:pPr>
          </w:p>
        </w:tc>
        <w:tc>
          <w:tcPr>
            <w:tcW w:w="1460" w:type="dxa"/>
            <w:vAlign w:val="bottom"/>
          </w:tcPr>
          <w:p>
            <w:pPr>
              <w:jc w:val="right"/>
              <w:ind w:right="41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6"/>
        </w:trPr>
        <w:tc>
          <w:tcPr>
            <w:tcW w:w="568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96"/>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Tangible common equity</w:t>
            </w: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80" w:type="dxa"/>
            <w:vAlign w:val="bottom"/>
          </w:tcPr>
          <w:p>
            <w:pPr>
              <w:ind w:left="260"/>
              <w:spacing w:after="0"/>
              <w:rPr>
                <w:sz w:val="20"/>
                <w:szCs w:val="20"/>
                <w:color w:val="auto"/>
              </w:rPr>
            </w:pPr>
            <w:r>
              <w:rPr>
                <w:rFonts w:ascii="Arial" w:cs="Arial" w:eastAsia="Arial" w:hAnsi="Arial"/>
                <w:sz w:val="16"/>
                <w:szCs w:val="16"/>
                <w:color w:val="auto"/>
              </w:rPr>
              <w:t>Total stockholders’ equity</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373,326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19"/>
              <w:spacing w:after="0"/>
              <w:rPr>
                <w:sz w:val="20"/>
                <w:szCs w:val="20"/>
                <w:color w:val="auto"/>
              </w:rPr>
            </w:pPr>
            <w:r>
              <w:rPr>
                <w:rFonts w:ascii="Arial" w:cs="Arial" w:eastAsia="Arial" w:hAnsi="Arial"/>
                <w:sz w:val="16"/>
                <w:szCs w:val="16"/>
                <w:color w:val="auto"/>
              </w:rPr>
              <w:t>365,150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333,316</w:t>
            </w:r>
          </w:p>
        </w:tc>
        <w:tc>
          <w:tcPr>
            <w:tcW w:w="0" w:type="dxa"/>
            <w:vAlign w:val="bottom"/>
          </w:tcPr>
          <w:p>
            <w:pPr>
              <w:spacing w:after="0"/>
              <w:rPr>
                <w:sz w:val="1"/>
                <w:szCs w:val="1"/>
                <w:color w:val="auto"/>
              </w:rPr>
            </w:pPr>
          </w:p>
        </w:tc>
      </w:tr>
      <w:tr>
        <w:trPr>
          <w:trHeight w:val="217"/>
        </w:trPr>
        <w:tc>
          <w:tcPr>
            <w:tcW w:w="56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Adjustments:</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Intangible assets</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(1,546)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(1,546)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(1,546)</w:t>
            </w:r>
          </w:p>
        </w:tc>
        <w:tc>
          <w:tcPr>
            <w:tcW w:w="0" w:type="dxa"/>
            <w:vAlign w:val="bottom"/>
          </w:tcPr>
          <w:p>
            <w:pPr>
              <w:spacing w:after="0"/>
              <w:rPr>
                <w:sz w:val="1"/>
                <w:szCs w:val="1"/>
                <w:color w:val="auto"/>
              </w:rPr>
            </w:pPr>
          </w:p>
        </w:tc>
      </w:tr>
      <w:tr>
        <w:trPr>
          <w:trHeight w:val="235"/>
        </w:trPr>
        <w:tc>
          <w:tcPr>
            <w:tcW w:w="5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tangible common equity (non-GAAP)</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371,780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363,604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331,770</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Realized common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stockholders’ equity</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373,326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365,150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333,316</w:t>
            </w:r>
          </w:p>
        </w:tc>
        <w:tc>
          <w:tcPr>
            <w:tcW w:w="0" w:type="dxa"/>
            <w:vAlign w:val="bottom"/>
          </w:tcPr>
          <w:p>
            <w:pPr>
              <w:spacing w:after="0"/>
              <w:rPr>
                <w:sz w:val="1"/>
                <w:szCs w:val="1"/>
                <w:color w:val="auto"/>
              </w:rPr>
            </w:pPr>
          </w:p>
        </w:tc>
      </w:tr>
      <w:tr>
        <w:trPr>
          <w:trHeight w:val="215"/>
        </w:trPr>
        <w:tc>
          <w:tcPr>
            <w:tcW w:w="5680" w:type="dxa"/>
            <w:vAlign w:val="bottom"/>
          </w:tcPr>
          <w:p>
            <w:pPr>
              <w:ind w:left="240"/>
              <w:spacing w:after="0"/>
              <w:rPr>
                <w:sz w:val="20"/>
                <w:szCs w:val="20"/>
                <w:color w:val="auto"/>
              </w:rPr>
            </w:pPr>
            <w:r>
              <w:rPr>
                <w:rFonts w:ascii="Arial" w:cs="Arial" w:eastAsia="Arial" w:hAnsi="Arial"/>
                <w:sz w:val="16"/>
                <w:szCs w:val="16"/>
                <w:color w:val="auto"/>
              </w:rPr>
              <w:t>Adjustments:</w:t>
            </w: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Accumulated other comprehensive (income) loss</w:t>
            </w:r>
          </w:p>
        </w:tc>
        <w:tc>
          <w:tcPr>
            <w:tcW w:w="3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45,652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43,341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56,358</w:t>
            </w:r>
          </w:p>
        </w:tc>
        <w:tc>
          <w:tcPr>
            <w:tcW w:w="0" w:type="dxa"/>
            <w:vAlign w:val="bottom"/>
          </w:tcPr>
          <w:p>
            <w:pPr>
              <w:spacing w:after="0"/>
              <w:rPr>
                <w:sz w:val="1"/>
                <w:szCs w:val="1"/>
                <w:color w:val="auto"/>
              </w:rPr>
            </w:pPr>
          </w:p>
        </w:tc>
      </w:tr>
      <w:tr>
        <w:trPr>
          <w:trHeight w:val="209"/>
        </w:trPr>
        <w:tc>
          <w:tcPr>
            <w:tcW w:w="5680" w:type="dxa"/>
            <w:vAlign w:val="bottom"/>
          </w:tcPr>
          <w:p>
            <w:pPr>
              <w:ind w:left="240"/>
              <w:spacing w:after="0"/>
              <w:rPr>
                <w:sz w:val="20"/>
                <w:szCs w:val="20"/>
                <w:color w:val="auto"/>
              </w:rPr>
            </w:pPr>
            <w:r>
              <w:rPr>
                <w:rFonts w:ascii="Arial" w:cs="Arial" w:eastAsia="Arial" w:hAnsi="Arial"/>
                <w:sz w:val="16"/>
                <w:szCs w:val="16"/>
                <w:color w:val="auto"/>
              </w:rPr>
              <w:t>Total realized common equity (non-GAAP)</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418,978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408,491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389,674</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shares outstanding</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6,577,186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6,576,609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6,777,657</w:t>
            </w:r>
          </w:p>
        </w:tc>
        <w:tc>
          <w:tcPr>
            <w:tcW w:w="0" w:type="dxa"/>
            <w:vAlign w:val="bottom"/>
          </w:tcPr>
          <w:p>
            <w:pPr>
              <w:spacing w:after="0"/>
              <w:rPr>
                <w:sz w:val="1"/>
                <w:szCs w:val="1"/>
                <w:color w:val="auto"/>
              </w:rPr>
            </w:pPr>
          </w:p>
        </w:tc>
      </w:tr>
      <w:tr>
        <w:trPr>
          <w:trHeight w:val="215"/>
        </w:trPr>
        <w:tc>
          <w:tcPr>
            <w:tcW w:w="5680" w:type="dxa"/>
            <w:vAlign w:val="bottom"/>
          </w:tcPr>
          <w:p>
            <w:pPr>
              <w:ind w:left="20"/>
              <w:spacing w:after="0"/>
              <w:rPr>
                <w:sz w:val="20"/>
                <w:szCs w:val="20"/>
                <w:color w:val="auto"/>
              </w:rPr>
            </w:pPr>
            <w:r>
              <w:rPr>
                <w:rFonts w:ascii="Arial" w:cs="Arial" w:eastAsia="Arial" w:hAnsi="Arial"/>
                <w:sz w:val="16"/>
                <w:szCs w:val="16"/>
                <w:color w:val="auto"/>
              </w:rPr>
              <w:t>Book value per share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56.76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19"/>
              <w:spacing w:after="0"/>
              <w:rPr>
                <w:sz w:val="20"/>
                <w:szCs w:val="20"/>
                <w:color w:val="auto"/>
              </w:rPr>
            </w:pPr>
            <w:r>
              <w:rPr>
                <w:rFonts w:ascii="Arial" w:cs="Arial" w:eastAsia="Arial" w:hAnsi="Arial"/>
                <w:sz w:val="16"/>
                <w:szCs w:val="16"/>
                <w:color w:val="auto"/>
              </w:rPr>
              <w:t>55.52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49.18</w:t>
            </w:r>
          </w:p>
        </w:tc>
        <w:tc>
          <w:tcPr>
            <w:tcW w:w="0" w:type="dxa"/>
            <w:vAlign w:val="bottom"/>
          </w:tcPr>
          <w:p>
            <w:pPr>
              <w:spacing w:after="0"/>
              <w:rPr>
                <w:sz w:val="1"/>
                <w:szCs w:val="1"/>
                <w:color w:val="auto"/>
              </w:rPr>
            </w:pPr>
          </w:p>
        </w:tc>
      </w:tr>
      <w:tr>
        <w:trPr>
          <w:trHeight w:val="217"/>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Tangible book value per share (non-GAAP)</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56.53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55.29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48.95</w:t>
            </w:r>
          </w:p>
        </w:tc>
        <w:tc>
          <w:tcPr>
            <w:tcW w:w="0" w:type="dxa"/>
            <w:vAlign w:val="bottom"/>
          </w:tcPr>
          <w:p>
            <w:pPr>
              <w:spacing w:after="0"/>
              <w:rPr>
                <w:sz w:val="1"/>
                <w:szCs w:val="1"/>
                <w:color w:val="auto"/>
              </w:rPr>
            </w:pPr>
          </w:p>
        </w:tc>
      </w:tr>
      <w:tr>
        <w:trPr>
          <w:trHeight w:val="215"/>
        </w:trPr>
        <w:tc>
          <w:tcPr>
            <w:tcW w:w="5680" w:type="dxa"/>
            <w:vAlign w:val="bottom"/>
          </w:tcPr>
          <w:p>
            <w:pPr>
              <w:ind w:left="20"/>
              <w:spacing w:after="0"/>
              <w:rPr>
                <w:sz w:val="20"/>
                <w:szCs w:val="20"/>
                <w:color w:val="auto"/>
              </w:rPr>
            </w:pPr>
            <w:r>
              <w:rPr>
                <w:rFonts w:ascii="Arial" w:cs="Arial" w:eastAsia="Arial" w:hAnsi="Arial"/>
                <w:sz w:val="16"/>
                <w:szCs w:val="16"/>
                <w:color w:val="auto"/>
              </w:rPr>
              <w:t>Realized book value per share (non-GAAP)</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63.70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19"/>
              <w:spacing w:after="0"/>
              <w:rPr>
                <w:sz w:val="20"/>
                <w:szCs w:val="20"/>
                <w:color w:val="auto"/>
              </w:rPr>
            </w:pPr>
            <w:r>
              <w:rPr>
                <w:rFonts w:ascii="Arial" w:cs="Arial" w:eastAsia="Arial" w:hAnsi="Arial"/>
                <w:sz w:val="16"/>
                <w:szCs w:val="16"/>
                <w:color w:val="auto"/>
              </w:rPr>
              <w:t>62.11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57.49</w:t>
            </w:r>
          </w:p>
        </w:tc>
        <w:tc>
          <w:tcPr>
            <w:tcW w:w="0" w:type="dxa"/>
            <w:vAlign w:val="bottom"/>
          </w:tcPr>
          <w:p>
            <w:pPr>
              <w:spacing w:after="0"/>
              <w:rPr>
                <w:sz w:val="1"/>
                <w:szCs w:val="1"/>
                <w:color w:val="auto"/>
              </w:rPr>
            </w:pPr>
          </w:p>
        </w:tc>
      </w:tr>
      <w:tr>
        <w:trPr>
          <w:trHeight w:val="257"/>
        </w:trPr>
        <w:tc>
          <w:tcPr>
            <w:tcW w:w="56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680" w:type="dxa"/>
            <w:vAlign w:val="bottom"/>
          </w:tcPr>
          <w:p>
            <w:pPr>
              <w:ind w:left="20"/>
              <w:spacing w:after="0"/>
              <w:rPr>
                <w:sz w:val="20"/>
                <w:szCs w:val="20"/>
                <w:color w:val="auto"/>
              </w:rPr>
            </w:pPr>
            <w:r>
              <w:rPr>
                <w:rFonts w:ascii="Arial" w:cs="Arial" w:eastAsia="Arial" w:hAnsi="Arial"/>
                <w:sz w:val="16"/>
                <w:szCs w:val="16"/>
                <w:color w:val="auto"/>
              </w:rPr>
              <w:t>Tangible assets</w:t>
            </w: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assets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3,346,600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3,350,910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3,186,432</w:t>
            </w:r>
          </w:p>
        </w:tc>
        <w:tc>
          <w:tcPr>
            <w:tcW w:w="0" w:type="dxa"/>
            <w:vAlign w:val="bottom"/>
          </w:tcPr>
          <w:p>
            <w:pPr>
              <w:spacing w:after="0"/>
              <w:rPr>
                <w:sz w:val="1"/>
                <w:szCs w:val="1"/>
                <w:color w:val="auto"/>
              </w:rPr>
            </w:pPr>
          </w:p>
        </w:tc>
      </w:tr>
      <w:tr>
        <w:trPr>
          <w:trHeight w:val="215"/>
        </w:trPr>
        <w:tc>
          <w:tcPr>
            <w:tcW w:w="5680" w:type="dxa"/>
            <w:vAlign w:val="bottom"/>
          </w:tcPr>
          <w:p>
            <w:pPr>
              <w:ind w:left="260"/>
              <w:spacing w:after="0"/>
              <w:rPr>
                <w:sz w:val="20"/>
                <w:szCs w:val="20"/>
                <w:color w:val="auto"/>
              </w:rPr>
            </w:pPr>
            <w:r>
              <w:rPr>
                <w:rFonts w:ascii="Arial" w:cs="Arial" w:eastAsia="Arial" w:hAnsi="Arial"/>
                <w:sz w:val="16"/>
                <w:szCs w:val="16"/>
                <w:color w:val="auto"/>
              </w:rPr>
              <w:t>Adjustments:</w:t>
            </w: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Intangible assets</w:t>
            </w:r>
          </w:p>
        </w:tc>
        <w:tc>
          <w:tcPr>
            <w:tcW w:w="3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(1,546)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(1,546)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(1,546)</w:t>
            </w:r>
          </w:p>
        </w:tc>
        <w:tc>
          <w:tcPr>
            <w:tcW w:w="0" w:type="dxa"/>
            <w:vAlign w:val="bottom"/>
          </w:tcPr>
          <w:p>
            <w:pPr>
              <w:spacing w:after="0"/>
              <w:rPr>
                <w:sz w:val="1"/>
                <w:szCs w:val="1"/>
                <w:color w:val="auto"/>
              </w:rPr>
            </w:pPr>
          </w:p>
        </w:tc>
      </w:tr>
      <w:tr>
        <w:trPr>
          <w:trHeight w:val="209"/>
        </w:trPr>
        <w:tc>
          <w:tcPr>
            <w:tcW w:w="5680" w:type="dxa"/>
            <w:vAlign w:val="bottom"/>
          </w:tcPr>
          <w:p>
            <w:pPr>
              <w:ind w:left="260"/>
              <w:spacing w:after="0"/>
              <w:rPr>
                <w:sz w:val="20"/>
                <w:szCs w:val="20"/>
                <w:color w:val="auto"/>
              </w:rPr>
            </w:pPr>
            <w:r>
              <w:rPr>
                <w:rFonts w:ascii="Arial" w:cs="Arial" w:eastAsia="Arial" w:hAnsi="Arial"/>
                <w:sz w:val="16"/>
                <w:szCs w:val="16"/>
                <w:color w:val="auto"/>
              </w:rPr>
              <w:t>Total tangible assets (non-GAAP)</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3,345,054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3,349,364</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3,184,886</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 to assets</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0" w:type="dxa"/>
            <w:vAlign w:val="bottom"/>
          </w:tcPr>
          <w:p>
            <w:pPr>
              <w:spacing w:after="0"/>
              <w:rPr>
                <w:sz w:val="1"/>
                <w:szCs w:val="1"/>
                <w:color w:val="auto"/>
              </w:rPr>
            </w:pPr>
          </w:p>
        </w:tc>
      </w:tr>
      <w:tr>
        <w:trPr>
          <w:trHeight w:val="215"/>
        </w:trPr>
        <w:tc>
          <w:tcPr>
            <w:tcW w:w="5680" w:type="dxa"/>
            <w:vAlign w:val="bottom"/>
          </w:tcPr>
          <w:p>
            <w:pPr>
              <w:ind w:left="20"/>
              <w:spacing w:after="0"/>
              <w:rPr>
                <w:sz w:val="20"/>
                <w:szCs w:val="20"/>
                <w:color w:val="auto"/>
              </w:rPr>
            </w:pPr>
            <w:r>
              <w:rPr>
                <w:rFonts w:ascii="Arial" w:cs="Arial" w:eastAsia="Arial" w:hAnsi="Arial"/>
                <w:sz w:val="16"/>
                <w:szCs w:val="16"/>
                <w:color w:val="auto"/>
              </w:rPr>
              <w:t>Tangible common equity to tangible assets (non-GAAP)</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10.42%</w:t>
            </w: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40"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Our consolidated financial statements are prepared in accordance with GAAP and with general practices within the financial services industry. Application of these principles requires management to make estimates and assumptions about future events that affect the amounts reported in the consolidated financial statements and accompanying notes. We base our estimates on historical experience and on various other assumptions that we believe to be reasonable under current circumstances. We evaluate our estimates on an ongoing basis. Use of alternative assumptions may have resulted in significantly different estimates. Actual results may differ from these estimates.</w:t>
      </w:r>
    </w:p>
    <w:p>
      <w:pPr>
        <w:spacing w:after="0" w:line="97"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There were no other material changes or developments during the reporting period with respect to methodologies that we use when developing critical accounting estimates as disclosed in our Annual Report on Form 10-K for the year ended December 31, 2025. For details on the significant accounting principles and practices we follow, see “Item 1. Financial Statements - Note 1. Summary of Significant Accounting Policies” in this Report and “Part II - Item</w:t>
      </w:r>
    </w:p>
    <w:p>
      <w:pPr>
        <w:spacing w:after="0" w:line="1" w:lineRule="exact"/>
        <w:rPr>
          <w:sz w:val="20"/>
          <w:szCs w:val="20"/>
          <w:color w:val="auto"/>
        </w:rPr>
      </w:pPr>
    </w:p>
    <w:p>
      <w:pPr>
        <w:ind w:right="800" w:firstLine="8"/>
        <w:spacing w:after="0" w:line="283" w:lineRule="auto"/>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Financial Statements and Supplementary Data - Note 1. Significant Accounting Policies” in our Annual Report on Form 10-K for the year ended December 31, 2025.</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See “Item 1. Financial Statements - Note 1. Summary of Significant Accounting Policies - Recent Accounting Pronouncements.”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40" w:lineRule="exact"/>
        <w:rPr>
          <w:sz w:val="20"/>
          <w:szCs w:val="20"/>
          <w:color w:val="auto"/>
        </w:rPr>
      </w:pPr>
    </w:p>
    <w:p>
      <w:pPr>
        <w:jc w:val="both"/>
        <w:ind w:right="120"/>
        <w:spacing w:after="0" w:line="265" w:lineRule="auto"/>
        <w:rPr>
          <w:sz w:val="20"/>
          <w:szCs w:val="20"/>
          <w:color w:val="auto"/>
        </w:rPr>
      </w:pPr>
      <w:r>
        <w:rPr>
          <w:rFonts w:ascii="Arial" w:cs="Arial" w:eastAsia="Arial" w:hAnsi="Arial"/>
          <w:sz w:val="16"/>
          <w:szCs w:val="16"/>
          <w:color w:val="auto"/>
        </w:rPr>
        <w:t>Quantitative and qualitative disclosures about market risk are presented in our Annual Report on Form 10-K for the year ended December 31, 2025, under the heading “Management’s Discussion and Analysis of Financial Condition and Results of Operations - Liquidity and Asset-Liability Management - Interest Rate Sensitivity and Market Risk.” Additional information as of March 31, 2026, is included herein under “Item 2. Management’s Discussion and Analysis of Financial</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color w:val="auto"/>
        </w:rPr>
        <w:t>Condition and Results of Operations - Liquidity and Asset-Liability Management - Interest Rate Sensitivity and Market Risk.” The foregoing information is incorporated into this Item 3 by reference.</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As of the end of the period covered by this Report, an evaluation was performed by our management, with the participation of our Chief Executive Officer (Principal Executive Officer) and Chief Financial Officer (Principal Financial Officer and Principal Accounting Officer), of the effectiveness of the design and operation of our disclosure controls and procedures. In designing and evaluating the disclosure controls and procedures, management recognizes that any controls and procedures, no matter how well-designed and operated, can provide only reasonable assurance of achieving the desired control objectives, and management was required to apply judgment in evaluating our controls and procedures. Based on this evaluation, our Chief Executive Officer and Chief Financial Officer concluded that our disclosure controls and procedures (as defined in Rules 13a-15(e) or 15d-15(e) under the Exchange Act) were effective as of the end of the period covered by this Report.</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138"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Rules 13a-15(f) and 15d-15(f) under the Exchange Act) during the first quarter of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4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From time to time, we, including our subsidiaries, are or may be involved in various legal matters arising in the ordinary course of business. In the opinion of management, neither we, nor any of our subsidiaries, are involved in such legal proceedings that the resolution is expected to have a material adverse effect on our consolidated results of operations, financial condition, or cash flows. However, one or more unfavorable outcomes in these ordinary claims or litigation against us or our subsidiaries could have a material adverse effect for the period in which they are resolved. In addition, regardless of their merits or ultimate outcomes, such matters are costly, divert management’s attention, and may materially and adversely affect our reputation or that of our subsidiaries, even if resolved favorably.</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40"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For information regarding risk factors that could affect our business, financial condition, and results of operations, see the information in “Part I - Item 1A. Risk Factors” in our Annual Report on Form 10-K for the year ended December 31, 2025. There have been no material changes to the risk factors disclosed in our most recent Annual Report on Form 10-K.</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Our purchases of shares of common stock made during the quarter are summarized in the table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8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 except per share data)</w:t>
            </w: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0" w:type="dxa"/>
            <w:vAlign w:val="bottom"/>
          </w:tcPr>
          <w:p>
            <w:pPr>
              <w:jc w:val="center"/>
              <w:spacing w:after="0" w:line="170" w:lineRule="exact"/>
              <w:rPr>
                <w:sz w:val="20"/>
                <w:szCs w:val="20"/>
                <w:color w:val="auto"/>
              </w:rPr>
            </w:pPr>
            <w:r>
              <w:rPr>
                <w:rFonts w:ascii="Arial" w:cs="Arial" w:eastAsia="Arial" w:hAnsi="Arial"/>
                <w:sz w:val="16"/>
                <w:szCs w:val="16"/>
                <w:b w:val="1"/>
                <w:bCs w:val="1"/>
                <w:color w:val="auto"/>
              </w:rPr>
              <w:t>Total Number of Shares</w:t>
            </w:r>
          </w:p>
        </w:tc>
        <w:tc>
          <w:tcPr>
            <w:tcW w:w="2340" w:type="dxa"/>
            <w:vAlign w:val="bottom"/>
            <w:gridSpan w:val="2"/>
          </w:tcPr>
          <w:p>
            <w:pPr>
              <w:ind w:left="140"/>
              <w:spacing w:after="0" w:line="170" w:lineRule="exact"/>
              <w:rPr>
                <w:sz w:val="20"/>
                <w:szCs w:val="20"/>
                <w:color w:val="auto"/>
              </w:rPr>
            </w:pPr>
            <w:r>
              <w:rPr>
                <w:rFonts w:ascii="Arial" w:cs="Arial" w:eastAsia="Arial" w:hAnsi="Arial"/>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156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Total Number of</w:t>
            </w:r>
          </w:p>
        </w:tc>
        <w:tc>
          <w:tcPr>
            <w:tcW w:w="17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Average Price Paid</w:t>
            </w:r>
          </w:p>
        </w:tc>
        <w:tc>
          <w:tcPr>
            <w:tcW w:w="20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260" w:type="dxa"/>
            <w:vAlign w:val="bottom"/>
          </w:tcPr>
          <w:p>
            <w:pPr>
              <w:spacing w:after="0"/>
              <w:rPr>
                <w:sz w:val="14"/>
                <w:szCs w:val="14"/>
                <w:color w:val="auto"/>
              </w:rPr>
            </w:pPr>
          </w:p>
        </w:tc>
        <w:tc>
          <w:tcPr>
            <w:tcW w:w="20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3580" w:type="dxa"/>
            <w:vAlign w:val="bottom"/>
            <w:vMerge w:val="restart"/>
          </w:tcPr>
          <w:p>
            <w:pPr>
              <w:ind w:left="1500"/>
              <w:spacing w:after="0"/>
              <w:rPr>
                <w:sz w:val="20"/>
                <w:szCs w:val="20"/>
                <w:color w:val="auto"/>
              </w:rPr>
            </w:pPr>
            <w:r>
              <w:rPr>
                <w:rFonts w:ascii="Arial" w:cs="Arial" w:eastAsia="Arial" w:hAnsi="Arial"/>
                <w:sz w:val="16"/>
                <w:szCs w:val="16"/>
                <w:b w:val="1"/>
                <w:bCs w:val="1"/>
                <w:color w:val="auto"/>
              </w:rPr>
              <w:t>Period</w:t>
            </w:r>
          </w:p>
        </w:tc>
        <w:tc>
          <w:tcPr>
            <w:tcW w:w="1560" w:type="dxa"/>
            <w:vAlign w:val="bottom"/>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20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w:t>
            </w:r>
          </w:p>
        </w:tc>
        <w:tc>
          <w:tcPr>
            <w:tcW w:w="260" w:type="dxa"/>
            <w:vAlign w:val="bottom"/>
          </w:tcPr>
          <w:p>
            <w:pPr>
              <w:spacing w:after="0"/>
              <w:rPr>
                <w:sz w:val="14"/>
                <w:szCs w:val="14"/>
                <w:color w:val="auto"/>
              </w:rPr>
            </w:pPr>
          </w:p>
        </w:tc>
        <w:tc>
          <w:tcPr>
            <w:tcW w:w="20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3580" w:type="dxa"/>
            <w:vAlign w:val="bottom"/>
            <w:vMerge w:val="continue"/>
          </w:tcPr>
          <w:p>
            <w:pPr>
              <w:spacing w:after="0"/>
              <w:rPr>
                <w:sz w:val="18"/>
                <w:szCs w:val="18"/>
                <w:color w:val="auto"/>
              </w:rPr>
            </w:pPr>
          </w:p>
        </w:tc>
        <w:tc>
          <w:tcPr>
            <w:tcW w:w="1560" w:type="dxa"/>
            <w:vAlign w:val="bottom"/>
          </w:tcPr>
          <w:p>
            <w:pPr>
              <w:ind w:left="60"/>
              <w:spacing w:after="0"/>
              <w:rPr>
                <w:sz w:val="20"/>
                <w:szCs w:val="20"/>
                <w:color w:val="auto"/>
              </w:rPr>
            </w:pPr>
            <w:r>
              <w:rPr>
                <w:rFonts w:ascii="Arial" w:cs="Arial" w:eastAsia="Arial" w:hAnsi="Arial"/>
                <w:sz w:val="16"/>
                <w:szCs w:val="16"/>
                <w:b w:val="1"/>
                <w:bCs w:val="1"/>
                <w:color w:val="auto"/>
              </w:rPr>
              <w:t>Shares Purchased</w:t>
            </w:r>
          </w:p>
        </w:tc>
        <w:tc>
          <w:tcPr>
            <w:tcW w:w="320" w:type="dxa"/>
            <w:vAlign w:val="bottom"/>
          </w:tcPr>
          <w:p>
            <w:pPr>
              <w:spacing w:after="0"/>
              <w:rPr>
                <w:sz w:val="18"/>
                <w:szCs w:val="18"/>
                <w:color w:val="auto"/>
              </w:rPr>
            </w:pPr>
          </w:p>
        </w:tc>
        <w:tc>
          <w:tcPr>
            <w:tcW w:w="1440" w:type="dxa"/>
            <w:vAlign w:val="bottom"/>
          </w:tcPr>
          <w:p>
            <w:pPr>
              <w:ind w:left="120"/>
              <w:spacing w:after="0" w:line="216" w:lineRule="exact"/>
              <w:rPr>
                <w:sz w:val="20"/>
                <w:szCs w:val="20"/>
                <w:color w:val="auto"/>
              </w:rPr>
            </w:pPr>
            <w:r>
              <w:rPr>
                <w:rFonts w:ascii="Arial" w:cs="Arial" w:eastAsia="Arial" w:hAnsi="Arial"/>
                <w:sz w:val="16"/>
                <w:szCs w:val="16"/>
                <w:b w:val="1"/>
                <w:bCs w:val="1"/>
                <w:color w:val="auto"/>
              </w:rPr>
              <w:t>per Share</w:t>
            </w:r>
            <w:r>
              <w:rPr>
                <w:rFonts w:ascii="Arial" w:cs="Arial" w:eastAsia="Arial" w:hAnsi="Arial"/>
                <w:sz w:val="21"/>
                <w:szCs w:val="21"/>
                <w:b w:val="1"/>
                <w:bCs w:val="1"/>
                <w:color w:val="auto"/>
                <w:vertAlign w:val="superscript"/>
              </w:rPr>
              <w:t>(1)</w:t>
            </w: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rPr>
              <w:t>Program</w:t>
            </w:r>
          </w:p>
        </w:tc>
        <w:tc>
          <w:tcPr>
            <w:tcW w:w="260" w:type="dxa"/>
            <w:vAlign w:val="bottom"/>
          </w:tcPr>
          <w:p>
            <w:pPr>
              <w:spacing w:after="0"/>
              <w:rPr>
                <w:sz w:val="18"/>
                <w:szCs w:val="18"/>
                <w:color w:val="auto"/>
              </w:rPr>
            </w:pPr>
          </w:p>
        </w:tc>
        <w:tc>
          <w:tcPr>
            <w:tcW w:w="2080" w:type="dxa"/>
            <w:vAlign w:val="bottom"/>
          </w:tcPr>
          <w:p>
            <w:pPr>
              <w:jc w:val="center"/>
              <w:ind w:right="79"/>
              <w:spacing w:after="0" w:line="216" w:lineRule="exact"/>
              <w:rPr>
                <w:sz w:val="20"/>
                <w:szCs w:val="20"/>
                <w:color w:val="auto"/>
              </w:rPr>
            </w:pPr>
            <w:r>
              <w:rPr>
                <w:rFonts w:ascii="Arial" w:cs="Arial" w:eastAsia="Arial" w:hAnsi="Arial"/>
                <w:sz w:val="16"/>
                <w:szCs w:val="16"/>
                <w:b w:val="1"/>
                <w:bCs w:val="1"/>
                <w:color w:val="auto"/>
                <w:w w:val="91"/>
              </w:rPr>
              <w:t>Program</w:t>
            </w:r>
            <w:r>
              <w:rPr>
                <w:rFonts w:ascii="Arial" w:cs="Arial" w:eastAsia="Arial" w:hAnsi="Arial"/>
                <w:sz w:val="21"/>
                <w:szCs w:val="21"/>
                <w:b w:val="1"/>
                <w:bCs w:val="1"/>
                <w:color w:val="auto"/>
                <w:w w:val="91"/>
                <w:vertAlign w:val="superscript"/>
              </w:rPr>
              <w:t>(2)(3)</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1 - January 31, 2026</w:t>
            </w:r>
          </w:p>
        </w:tc>
        <w:tc>
          <w:tcPr>
            <w:tcW w:w="1560" w:type="dxa"/>
            <w:vAlign w:val="bottom"/>
            <w:shd w:val="clear" w:color="auto" w:fill="CCEEFF"/>
          </w:tcPr>
          <w:p>
            <w:pPr>
              <w:ind w:left="1380"/>
              <w:spacing w:after="0"/>
              <w:rPr>
                <w:sz w:val="20"/>
                <w:szCs w:val="20"/>
                <w:color w:val="auto"/>
              </w:rPr>
            </w:pPr>
            <w:r>
              <w:rPr>
                <w:rFonts w:ascii="Arial" w:cs="Arial" w:eastAsia="Arial" w:hAnsi="Arial"/>
                <w:sz w:val="16"/>
                <w:szCs w:val="16"/>
                <w:color w:val="auto"/>
                <w:w w:val="99"/>
              </w:rPr>
              <w:t>—</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2000" w:type="dxa"/>
            <w:vAlign w:val="bottom"/>
            <w:shd w:val="clear" w:color="auto" w:fill="CCEEFF"/>
          </w:tcPr>
          <w:p>
            <w:pPr>
              <w:ind w:left="1820"/>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February 1 - February 28, 2026</w:t>
            </w:r>
          </w:p>
        </w:tc>
        <w:tc>
          <w:tcPr>
            <w:tcW w:w="1560" w:type="dxa"/>
            <w:vAlign w:val="bottom"/>
          </w:tcPr>
          <w:p>
            <w:pPr>
              <w:ind w:left="1380"/>
              <w:spacing w:after="0"/>
              <w:rPr>
                <w:sz w:val="20"/>
                <w:szCs w:val="20"/>
                <w:color w:val="auto"/>
              </w:rPr>
            </w:pPr>
            <w:r>
              <w:rPr>
                <w:rFonts w:ascii="Arial" w:cs="Arial" w:eastAsia="Arial" w:hAnsi="Arial"/>
                <w:sz w:val="16"/>
                <w:szCs w:val="16"/>
                <w:color w:val="auto"/>
                <w:w w:val="99"/>
              </w:rPr>
              <w:t>—</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Pr>
          <w:p>
            <w:pPr>
              <w:ind w:left="1120"/>
              <w:spacing w:after="0"/>
              <w:rPr>
                <w:sz w:val="20"/>
                <w:szCs w:val="20"/>
                <w:color w:val="auto"/>
              </w:rPr>
            </w:pPr>
            <w:r>
              <w:rPr>
                <w:rFonts w:ascii="Arial" w:cs="Arial" w:eastAsia="Arial" w:hAnsi="Arial"/>
                <w:sz w:val="16"/>
                <w:szCs w:val="16"/>
                <w:color w:val="auto"/>
              </w:rPr>
              <w:t>—</w:t>
            </w:r>
          </w:p>
        </w:tc>
        <w:tc>
          <w:tcPr>
            <w:tcW w:w="2000" w:type="dxa"/>
            <w:vAlign w:val="bottom"/>
          </w:tcPr>
          <w:p>
            <w:pPr>
              <w:ind w:left="1820"/>
              <w:spacing w:after="0"/>
              <w:rPr>
                <w:sz w:val="20"/>
                <w:szCs w:val="20"/>
                <w:color w:val="auto"/>
              </w:rPr>
            </w:pPr>
            <w:r>
              <w:rPr>
                <w:rFonts w:ascii="Arial" w:cs="Arial" w:eastAsia="Arial" w:hAnsi="Arial"/>
                <w:sz w:val="16"/>
                <w:szCs w:val="16"/>
                <w:color w:val="auto"/>
                <w:w w:val="99"/>
              </w:rPr>
              <w:t>—</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2080" w:type="dxa"/>
            <w:vAlign w:val="bottom"/>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1 - March 31, 2026</w:t>
            </w:r>
          </w:p>
        </w:tc>
        <w:tc>
          <w:tcPr>
            <w:tcW w:w="156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6"/>
                <w:szCs w:val="16"/>
                <w:color w:val="auto"/>
                <w:w w:val="99"/>
              </w:rPr>
              <w:t>—</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shd w:val="clear" w:color="auto" w:fill="CCEEFF"/>
          </w:tcPr>
          <w:p>
            <w:pPr>
              <w:ind w:left="1820"/>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0"/>
        </w:trPr>
        <w:tc>
          <w:tcPr>
            <w:tcW w:w="3580" w:type="dxa"/>
            <w:vAlign w:val="bottom"/>
          </w:tcPr>
          <w:p>
            <w:pPr>
              <w:ind w:left="140"/>
              <w:spacing w:after="0"/>
              <w:rPr>
                <w:sz w:val="20"/>
                <w:szCs w:val="20"/>
                <w:color w:val="auto"/>
              </w:rPr>
            </w:pPr>
            <w:r>
              <w:rPr>
                <w:rFonts w:ascii="Arial" w:cs="Arial" w:eastAsia="Arial" w:hAnsi="Arial"/>
                <w:sz w:val="16"/>
                <w:szCs w:val="16"/>
                <w:color w:val="auto"/>
              </w:rPr>
              <w:t>Total</w:t>
            </w:r>
          </w:p>
        </w:tc>
        <w:tc>
          <w:tcPr>
            <w:tcW w:w="1560" w:type="dxa"/>
            <w:vAlign w:val="bottom"/>
            <w:tcBorders>
              <w:bottom w:val="single" w:sz="8" w:color="auto"/>
            </w:tcBorders>
          </w:tcPr>
          <w:p>
            <w:pPr>
              <w:ind w:left="1380"/>
              <w:spacing w:after="0"/>
              <w:rPr>
                <w:sz w:val="20"/>
                <w:szCs w:val="20"/>
                <w:color w:val="auto"/>
              </w:rPr>
            </w:pPr>
            <w:r>
              <w:rPr>
                <w:rFonts w:ascii="Arial" w:cs="Arial" w:eastAsia="Arial" w:hAnsi="Arial"/>
                <w:sz w:val="16"/>
                <w:szCs w:val="16"/>
                <w:color w:val="auto"/>
                <w:w w:val="99"/>
              </w:rPr>
              <w:t>—</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Pr>
          <w:p>
            <w:pPr>
              <w:ind w:left="1120"/>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ind w:left="1820"/>
              <w:spacing w:after="0"/>
              <w:rPr>
                <w:sz w:val="20"/>
                <w:szCs w:val="20"/>
                <w:color w:val="auto"/>
              </w:rPr>
            </w:pPr>
            <w:r>
              <w:rPr>
                <w:rFonts w:ascii="Arial" w:cs="Arial" w:eastAsia="Arial" w:hAnsi="Arial"/>
                <w:sz w:val="16"/>
                <w:szCs w:val="16"/>
                <w:color w:val="auto"/>
                <w:w w:val="99"/>
              </w:rPr>
              <w:t>—</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2080" w:type="dxa"/>
            <w:vAlign w:val="bottom"/>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60" w:hanging="152"/>
        <w:spacing w:after="0"/>
        <w:tabs>
          <w:tab w:leader="none" w:pos="160" w:val="left"/>
        </w:tabs>
        <w:numPr>
          <w:ilvl w:val="0"/>
          <w:numId w:val="25"/>
        </w:numPr>
        <w:rPr>
          <w:rFonts w:ascii="Arial" w:cs="Arial" w:eastAsia="Arial" w:hAnsi="Arial"/>
          <w:sz w:val="16"/>
          <w:szCs w:val="16"/>
          <w:color w:val="auto"/>
          <w:vertAlign w:val="superscript"/>
        </w:rPr>
      </w:pPr>
      <w:r>
        <w:rPr>
          <w:rFonts w:ascii="Arial" w:cs="Arial" w:eastAsia="Arial" w:hAnsi="Arial"/>
          <w:sz w:val="13"/>
          <w:szCs w:val="13"/>
          <w:color w:val="auto"/>
        </w:rPr>
        <w:t>Average price paid per share includes the commission expense, if any, paid on the share repurchases, but excludes the excise tax recorded on the share repurchases.</w:t>
      </w:r>
    </w:p>
    <w:p>
      <w:pPr>
        <w:ind w:left="180" w:right="300" w:hanging="172"/>
        <w:spacing w:after="0" w:line="245" w:lineRule="auto"/>
        <w:tabs>
          <w:tab w:leader="none" w:pos="172" w:val="left"/>
        </w:tabs>
        <w:numPr>
          <w:ilvl w:val="0"/>
          <w:numId w:val="25"/>
        </w:numPr>
        <w:rPr>
          <w:rFonts w:ascii="Arial" w:cs="Arial" w:eastAsia="Arial" w:hAnsi="Arial"/>
          <w:sz w:val="15"/>
          <w:szCs w:val="15"/>
          <w:color w:val="auto"/>
          <w:vertAlign w:val="superscript"/>
        </w:rPr>
      </w:pPr>
      <w:r>
        <w:rPr>
          <w:rFonts w:ascii="Arial" w:cs="Arial" w:eastAsia="Arial" w:hAnsi="Arial"/>
          <w:sz w:val="12"/>
          <w:szCs w:val="12"/>
          <w:color w:val="auto"/>
        </w:rPr>
        <w:t>On December 18, 2025, we announced that our board of directors approved the renewal and increase of the 2025 stock repurchase program. The renewed and increased 2026 stock repurchase program has similar terms to the 2025 stock repurchase program and authorizes us to purchase up to $10.0 million of our outstanding shares of common stock from January 1, 2026 through December 31, 2026. Repurchases may be made from time to time in the open market at prevailing prices and based on market conditions, or in privately negotiated transactions.</w:t>
      </w:r>
    </w:p>
    <w:p>
      <w:pPr>
        <w:spacing w:after="0" w:line="1" w:lineRule="exact"/>
        <w:rPr>
          <w:rFonts w:ascii="Arial" w:cs="Arial" w:eastAsia="Arial" w:hAnsi="Arial"/>
          <w:sz w:val="15"/>
          <w:szCs w:val="15"/>
          <w:color w:val="auto"/>
          <w:vertAlign w:val="superscript"/>
        </w:rPr>
      </w:pPr>
    </w:p>
    <w:p>
      <w:pPr>
        <w:ind w:left="160" w:hanging="152"/>
        <w:spacing w:after="0" w:line="214" w:lineRule="auto"/>
        <w:tabs>
          <w:tab w:leader="none" w:pos="160" w:val="left"/>
        </w:tabs>
        <w:numPr>
          <w:ilvl w:val="0"/>
          <w:numId w:val="25"/>
        </w:numPr>
        <w:rPr>
          <w:rFonts w:ascii="Arial" w:cs="Arial" w:eastAsia="Arial" w:hAnsi="Arial"/>
          <w:sz w:val="15"/>
          <w:szCs w:val="15"/>
          <w:color w:val="auto"/>
          <w:vertAlign w:val="superscript"/>
        </w:rPr>
      </w:pPr>
      <w:r>
        <w:rPr>
          <w:rFonts w:ascii="Arial" w:cs="Arial" w:eastAsia="Arial" w:hAnsi="Arial"/>
          <w:sz w:val="12"/>
          <w:szCs w:val="12"/>
          <w:color w:val="auto"/>
        </w:rPr>
        <w:t>The approximate dollar value of shares that may yet be purchased under the program is reduced by the amount of the commission expense and the excise tax recorded on the share repurchases.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20" w:type="dxa"/>
            <w:vAlign w:val="bottom"/>
          </w:tcPr>
          <w:p>
            <w:pPr>
              <w:spacing w:after="0"/>
              <w:rPr>
                <w:sz w:val="20"/>
                <w:szCs w:val="20"/>
                <w:color w:val="auto"/>
              </w:rPr>
            </w:pPr>
            <w:r>
              <w:rPr>
                <w:rFonts w:ascii="Arial" w:cs="Arial" w:eastAsia="Arial" w:hAnsi="Arial"/>
                <w:sz w:val="16"/>
                <w:szCs w:val="16"/>
                <w:b w:val="1"/>
                <w:bCs w:val="1"/>
                <w:color w:val="auto"/>
              </w:rPr>
              <w:t>Item 6. Exhibits</w:t>
            </w:r>
          </w:p>
        </w:tc>
        <w:tc>
          <w:tcPr>
            <w:tcW w:w="7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63"/>
        </w:trPr>
        <w:tc>
          <w:tcPr>
            <w:tcW w:w="1220" w:type="dxa"/>
            <w:vAlign w:val="bottom"/>
          </w:tcPr>
          <w:p>
            <w:pPr>
              <w:ind w:left="20"/>
              <w:spacing w:after="0"/>
              <w:rPr>
                <w:sz w:val="20"/>
                <w:szCs w:val="20"/>
                <w:color w:val="auto"/>
              </w:rPr>
            </w:pPr>
            <w:r>
              <w:rPr>
                <w:rFonts w:ascii="Arial" w:cs="Arial" w:eastAsia="Arial" w:hAnsi="Arial"/>
                <w:sz w:val="16"/>
                <w:szCs w:val="16"/>
                <w:b w:val="1"/>
                <w:bCs w:val="1"/>
                <w:color w:val="auto"/>
              </w:rPr>
              <w:t>NUMBER</w:t>
            </w:r>
          </w:p>
        </w:tc>
        <w:tc>
          <w:tcPr>
            <w:tcW w:w="9100" w:type="dxa"/>
            <w:vAlign w:val="bottom"/>
            <w:gridSpan w:val="6"/>
          </w:tcPr>
          <w:p>
            <w:pPr>
              <w:spacing w:after="0"/>
              <w:rPr>
                <w:sz w:val="20"/>
                <w:szCs w:val="20"/>
                <w:color w:val="auto"/>
              </w:rPr>
            </w:pPr>
            <w:r>
              <w:rPr>
                <w:rFonts w:ascii="Arial" w:cs="Arial" w:eastAsia="Arial" w:hAnsi="Arial"/>
                <w:sz w:val="16"/>
                <w:szCs w:val="16"/>
                <w:b w:val="1"/>
                <w:bCs w:val="1"/>
                <w:color w:val="auto"/>
              </w:rPr>
              <w:t>DESCRIPTION</w:t>
            </w:r>
          </w:p>
        </w:tc>
      </w:tr>
      <w:tr>
        <w:trPr>
          <w:trHeight w:val="176"/>
        </w:trPr>
        <w:tc>
          <w:tcPr>
            <w:tcW w:w="1220" w:type="dxa"/>
            <w:vAlign w:val="bottom"/>
          </w:tcPr>
          <w:p>
            <w:pPr>
              <w:ind w:left="20"/>
              <w:spacing w:after="0" w:line="176" w:lineRule="exact"/>
              <w:rPr>
                <w:sz w:val="20"/>
                <w:szCs w:val="20"/>
                <w:color w:val="auto"/>
              </w:rPr>
            </w:pPr>
            <w:r>
              <w:rPr>
                <w:rFonts w:ascii="Arial" w:cs="Arial" w:eastAsia="Arial" w:hAnsi="Arial"/>
                <w:sz w:val="16"/>
                <w:szCs w:val="16"/>
                <w:color w:val="auto"/>
              </w:rPr>
              <w:t>3.1</w:t>
            </w:r>
          </w:p>
        </w:tc>
        <w:tc>
          <w:tcPr>
            <w:tcW w:w="9100" w:type="dxa"/>
            <w:vAlign w:val="bottom"/>
            <w:gridSpan w:val="6"/>
          </w:tcPr>
          <w:p>
            <w:pPr>
              <w:spacing w:after="0" w:line="176" w:lineRule="exact"/>
              <w:rPr>
                <w:rFonts w:ascii="Arial" w:cs="Arial" w:eastAsia="Arial" w:hAnsi="Arial"/>
                <w:sz w:val="16"/>
                <w:szCs w:val="16"/>
                <w:color w:val="0000FF"/>
              </w:rPr>
            </w:pPr>
            <w:hyperlink r:id="rId69">
              <w:r>
                <w:rPr>
                  <w:rFonts w:ascii="Arial" w:cs="Arial" w:eastAsia="Arial" w:hAnsi="Arial"/>
                  <w:sz w:val="16"/>
                  <w:szCs w:val="16"/>
                  <w:color w:val="0000FF"/>
                </w:rPr>
                <w:t>Restated Articles of Incorporation of Red River Bancshares, Inc. (incorporated by reference to Exhibit 3.1 to Red River</w:t>
              </w:r>
            </w:hyperlink>
          </w:p>
        </w:tc>
      </w:tr>
      <w:tr>
        <w:trPr>
          <w:trHeight w:val="142"/>
        </w:trPr>
        <w:tc>
          <w:tcPr>
            <w:tcW w:w="1220" w:type="dxa"/>
            <w:vAlign w:val="bottom"/>
          </w:tcPr>
          <w:p>
            <w:pPr>
              <w:spacing w:after="0"/>
              <w:rPr>
                <w:sz w:val="12"/>
                <w:szCs w:val="12"/>
                <w:color w:val="auto"/>
              </w:rPr>
            </w:pPr>
          </w:p>
        </w:tc>
        <w:tc>
          <w:tcPr>
            <w:tcW w:w="842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69">
              <w:r>
                <w:rPr>
                  <w:rFonts w:ascii="Arial" w:cs="Arial" w:eastAsia="Arial" w:hAnsi="Arial"/>
                  <w:sz w:val="16"/>
                  <w:szCs w:val="16"/>
                  <w:color w:val="0000FF"/>
                </w:rPr>
                <w:t>Bancshares, Inc.’s Registration Statement on Form S-1 filed with the SEC on April 10, 2019, file number 333-230798)</w:t>
              </w:r>
            </w:hyperlink>
          </w:p>
        </w:tc>
        <w:tc>
          <w:tcPr>
            <w:tcW w:w="60" w:type="dxa"/>
            <w:vAlign w:val="bottom"/>
            <w:tcBorders>
              <w:top w:val="single" w:sz="8" w:color="0000FF"/>
            </w:tcBorders>
          </w:tcPr>
          <w:p>
            <w:pPr>
              <w:spacing w:after="0"/>
              <w:rPr>
                <w:sz w:val="12"/>
                <w:szCs w:val="12"/>
                <w:color w:val="auto"/>
              </w:rPr>
            </w:pPr>
          </w:p>
        </w:tc>
        <w:tc>
          <w:tcPr>
            <w:tcW w:w="620" w:type="dxa"/>
            <w:vAlign w:val="bottom"/>
          </w:tcPr>
          <w:p>
            <w:pPr>
              <w:spacing w:after="0"/>
              <w:rPr>
                <w:sz w:val="12"/>
                <w:szCs w:val="12"/>
                <w:color w:val="auto"/>
              </w:rPr>
            </w:pPr>
          </w:p>
        </w:tc>
      </w:tr>
      <w:tr>
        <w:trPr>
          <w:trHeight w:val="196"/>
        </w:trPr>
        <w:tc>
          <w:tcPr>
            <w:tcW w:w="1220" w:type="dxa"/>
            <w:vAlign w:val="bottom"/>
          </w:tcPr>
          <w:p>
            <w:pPr>
              <w:ind w:left="20"/>
              <w:spacing w:after="0"/>
              <w:rPr>
                <w:sz w:val="20"/>
                <w:szCs w:val="20"/>
                <w:color w:val="auto"/>
              </w:rPr>
            </w:pPr>
            <w:r>
              <w:rPr>
                <w:rFonts w:ascii="Arial" w:cs="Arial" w:eastAsia="Arial" w:hAnsi="Arial"/>
                <w:sz w:val="16"/>
                <w:szCs w:val="16"/>
                <w:color w:val="auto"/>
              </w:rPr>
              <w:t>3.2</w:t>
            </w:r>
          </w:p>
        </w:tc>
        <w:tc>
          <w:tcPr>
            <w:tcW w:w="9100" w:type="dxa"/>
            <w:vAlign w:val="bottom"/>
            <w:tcBorders>
              <w:bottom w:val="single" w:sz="8" w:color="0000FF"/>
            </w:tcBorders>
            <w:gridSpan w:val="6"/>
          </w:tcPr>
          <w:p>
            <w:pPr>
              <w:spacing w:after="0"/>
              <w:rPr>
                <w:rFonts w:ascii="Arial" w:cs="Arial" w:eastAsia="Arial" w:hAnsi="Arial"/>
                <w:sz w:val="16"/>
                <w:szCs w:val="16"/>
                <w:color w:val="0000FF"/>
              </w:rPr>
            </w:pPr>
            <w:hyperlink r:id="rId70">
              <w:r>
                <w:rPr>
                  <w:rFonts w:ascii="Arial" w:cs="Arial" w:eastAsia="Arial" w:hAnsi="Arial"/>
                  <w:sz w:val="16"/>
                  <w:szCs w:val="16"/>
                  <w:color w:val="0000FF"/>
                </w:rPr>
                <w:t>Red River Bancshares, Inc. Amended and Restated Bylaws (incorporated by reference to Exhibit 3.1 to Red River Bancshares,</w:t>
              </w:r>
            </w:hyperlink>
          </w:p>
        </w:tc>
      </w:tr>
      <w:tr>
        <w:trPr>
          <w:trHeight w:val="142"/>
        </w:trPr>
        <w:tc>
          <w:tcPr>
            <w:tcW w:w="1220" w:type="dxa"/>
            <w:vAlign w:val="bottom"/>
          </w:tcPr>
          <w:p>
            <w:pPr>
              <w:spacing w:after="0"/>
              <w:rPr>
                <w:sz w:val="12"/>
                <w:szCs w:val="12"/>
                <w:color w:val="auto"/>
              </w:rPr>
            </w:pPr>
          </w:p>
        </w:tc>
        <w:tc>
          <w:tcPr>
            <w:tcW w:w="9100" w:type="dxa"/>
            <w:vAlign w:val="bottom"/>
            <w:gridSpan w:val="6"/>
          </w:tcPr>
          <w:p>
            <w:pPr>
              <w:spacing w:after="0" w:line="142" w:lineRule="exact"/>
              <w:rPr>
                <w:rFonts w:ascii="Arial" w:cs="Arial" w:eastAsia="Arial" w:hAnsi="Arial"/>
                <w:sz w:val="16"/>
                <w:szCs w:val="16"/>
                <w:color w:val="0000FF"/>
              </w:rPr>
            </w:pPr>
            <w:hyperlink r:id="rId70">
              <w:r>
                <w:rPr>
                  <w:rFonts w:ascii="Arial" w:cs="Arial" w:eastAsia="Arial" w:hAnsi="Arial"/>
                  <w:sz w:val="16"/>
                  <w:szCs w:val="16"/>
                  <w:color w:val="0000FF"/>
                </w:rPr>
                <w:t>Inc.’s Current Report on Form 8-K filed with the SEC on February 26, 2026, file number 001-38888)</w:t>
              </w:r>
            </w:hyperlink>
          </w:p>
        </w:tc>
      </w:tr>
      <w:tr>
        <w:trPr>
          <w:trHeight w:val="20"/>
        </w:trPr>
        <w:tc>
          <w:tcPr>
            <w:tcW w:w="1220" w:type="dxa"/>
            <w:vAlign w:val="bottom"/>
          </w:tcPr>
          <w:p>
            <w:pPr>
              <w:spacing w:after="0" w:line="20" w:lineRule="exact"/>
              <w:rPr>
                <w:sz w:val="1"/>
                <w:szCs w:val="1"/>
                <w:color w:val="auto"/>
              </w:rPr>
            </w:pPr>
          </w:p>
        </w:tc>
        <w:tc>
          <w:tcPr>
            <w:tcW w:w="7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r>
      <w:tr>
        <w:trPr>
          <w:trHeight w:val="196"/>
        </w:trPr>
        <w:tc>
          <w:tcPr>
            <w:tcW w:w="1220" w:type="dxa"/>
            <w:vAlign w:val="bottom"/>
          </w:tcPr>
          <w:p>
            <w:pPr>
              <w:ind w:left="20"/>
              <w:spacing w:after="0"/>
              <w:rPr>
                <w:sz w:val="20"/>
                <w:szCs w:val="20"/>
                <w:color w:val="auto"/>
              </w:rPr>
            </w:pPr>
            <w:r>
              <w:rPr>
                <w:rFonts w:ascii="Arial" w:cs="Arial" w:eastAsia="Arial" w:hAnsi="Arial"/>
                <w:sz w:val="16"/>
                <w:szCs w:val="16"/>
                <w:color w:val="auto"/>
              </w:rPr>
              <w:t>10.1</w:t>
            </w:r>
          </w:p>
        </w:tc>
        <w:tc>
          <w:tcPr>
            <w:tcW w:w="9100" w:type="dxa"/>
            <w:vAlign w:val="bottom"/>
            <w:gridSpan w:val="6"/>
          </w:tcPr>
          <w:p>
            <w:pPr>
              <w:spacing w:after="0"/>
              <w:rPr>
                <w:sz w:val="20"/>
                <w:szCs w:val="20"/>
                <w:color w:val="auto"/>
              </w:rPr>
            </w:pPr>
            <w:r>
              <w:rPr>
                <w:rFonts w:ascii="Arial" w:cs="Arial" w:eastAsia="Arial" w:hAnsi="Arial"/>
                <w:sz w:val="16"/>
                <w:szCs w:val="16"/>
                <w:color w:val="0000FF"/>
              </w:rPr>
              <w:t>Amendment No. 1 to Change in Control Agreement between Red River Bancshares, Inc. and Bryon C. Salazar</w:t>
            </w:r>
            <w:r>
              <w:rPr>
                <w:rFonts w:ascii="Arial" w:cs="Arial" w:eastAsia="Arial" w:hAnsi="Arial"/>
                <w:sz w:val="16"/>
                <w:szCs w:val="16"/>
                <w:color w:val="000000"/>
              </w:rPr>
              <w:t>*+</w:t>
            </w:r>
          </w:p>
        </w:tc>
      </w:tr>
      <w:tr>
        <w:trPr>
          <w:trHeight w:val="196"/>
        </w:trPr>
        <w:tc>
          <w:tcPr>
            <w:tcW w:w="1220" w:type="dxa"/>
            <w:vAlign w:val="bottom"/>
          </w:tcPr>
          <w:p>
            <w:pPr>
              <w:ind w:left="20"/>
              <w:spacing w:after="0"/>
              <w:rPr>
                <w:sz w:val="20"/>
                <w:szCs w:val="20"/>
                <w:color w:val="auto"/>
              </w:rPr>
            </w:pPr>
            <w:r>
              <w:rPr>
                <w:rFonts w:ascii="Arial" w:cs="Arial" w:eastAsia="Arial" w:hAnsi="Arial"/>
                <w:sz w:val="16"/>
                <w:szCs w:val="16"/>
                <w:color w:val="auto"/>
              </w:rPr>
              <w:t>31.1</w:t>
            </w:r>
          </w:p>
        </w:tc>
        <w:tc>
          <w:tcPr>
            <w:tcW w:w="7940" w:type="dxa"/>
            <w:vAlign w:val="bottom"/>
            <w:tcBorders>
              <w:top w:val="single" w:sz="8" w:color="0000FF"/>
            </w:tcBorders>
            <w:gridSpan w:val="3"/>
          </w:tcPr>
          <w:p>
            <w:pPr>
              <w:spacing w:after="0"/>
              <w:rPr>
                <w:sz w:val="20"/>
                <w:szCs w:val="20"/>
                <w:color w:val="auto"/>
              </w:rPr>
            </w:pPr>
            <w:r>
              <w:rPr>
                <w:rFonts w:ascii="Arial" w:cs="Arial" w:eastAsia="Arial" w:hAnsi="Arial"/>
                <w:sz w:val="16"/>
                <w:szCs w:val="16"/>
                <w:color w:val="0000FF"/>
              </w:rPr>
              <w:t>Certification of Principal Executive Officer pursuant to Section 302 of the Sarbanes-Oxley Act of 2002</w:t>
            </w:r>
            <w:r>
              <w:rPr>
                <w:rFonts w:ascii="Arial" w:cs="Arial" w:eastAsia="Arial" w:hAnsi="Arial"/>
                <w:sz w:val="16"/>
                <w:szCs w:val="16"/>
                <w:color w:val="000000"/>
              </w:rPr>
              <w:t>*</w:t>
            </w:r>
          </w:p>
        </w:tc>
        <w:tc>
          <w:tcPr>
            <w:tcW w:w="1160" w:type="dxa"/>
            <w:vAlign w:val="bottom"/>
            <w:gridSpan w:val="3"/>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7200" w:type="dxa"/>
            <w:vAlign w:val="bottom"/>
            <w:gridSpan w:val="2"/>
            <w:shd w:val="clear" w:color="auto" w:fill="0000FF"/>
          </w:tcPr>
          <w:p>
            <w:pPr>
              <w:spacing w:after="0" w:line="20" w:lineRule="exact"/>
              <w:rPr>
                <w:sz w:val="1"/>
                <w:szCs w:val="1"/>
                <w:color w:val="auto"/>
              </w:rPr>
            </w:pPr>
          </w:p>
        </w:tc>
        <w:tc>
          <w:tcPr>
            <w:tcW w:w="1900" w:type="dxa"/>
            <w:vAlign w:val="bottom"/>
            <w:tcBorders>
              <w:left w:val="single" w:sz="8" w:color="0000FF"/>
            </w:tcBorders>
            <w:gridSpan w:val="4"/>
          </w:tcPr>
          <w:p>
            <w:pPr>
              <w:spacing w:after="0" w:line="20" w:lineRule="exact"/>
              <w:rPr>
                <w:sz w:val="1"/>
                <w:szCs w:val="1"/>
                <w:color w:val="auto"/>
              </w:rPr>
            </w:pPr>
          </w:p>
        </w:tc>
      </w:tr>
      <w:tr>
        <w:trPr>
          <w:trHeight w:val="196"/>
        </w:trPr>
        <w:tc>
          <w:tcPr>
            <w:tcW w:w="1220" w:type="dxa"/>
            <w:vAlign w:val="bottom"/>
          </w:tcPr>
          <w:p>
            <w:pPr>
              <w:ind w:left="20"/>
              <w:spacing w:after="0"/>
              <w:rPr>
                <w:sz w:val="20"/>
                <w:szCs w:val="20"/>
                <w:color w:val="auto"/>
              </w:rPr>
            </w:pPr>
            <w:r>
              <w:rPr>
                <w:rFonts w:ascii="Arial" w:cs="Arial" w:eastAsia="Arial" w:hAnsi="Arial"/>
                <w:sz w:val="16"/>
                <w:szCs w:val="16"/>
                <w:color w:val="auto"/>
              </w:rPr>
              <w:t>31.2</w:t>
            </w:r>
          </w:p>
        </w:tc>
        <w:tc>
          <w:tcPr>
            <w:tcW w:w="9100" w:type="dxa"/>
            <w:vAlign w:val="bottom"/>
            <w:gridSpan w:val="6"/>
          </w:tcPr>
          <w:p>
            <w:pPr>
              <w:spacing w:after="0"/>
              <w:rPr>
                <w:sz w:val="20"/>
                <w:szCs w:val="20"/>
                <w:color w:val="auto"/>
              </w:rPr>
            </w:pPr>
            <w:r>
              <w:rPr>
                <w:rFonts w:ascii="Arial" w:cs="Arial" w:eastAsia="Arial" w:hAnsi="Arial"/>
                <w:sz w:val="16"/>
                <w:szCs w:val="16"/>
                <w:color w:val="0000FF"/>
              </w:rPr>
              <w:t>Certification of Principal Financial Officer pursuant to Section 302 of the Sarbanes-Oxley Act of 2002</w:t>
            </w:r>
            <w:r>
              <w:rPr>
                <w:rFonts w:ascii="Arial" w:cs="Arial" w:eastAsia="Arial" w:hAnsi="Arial"/>
                <w:sz w:val="16"/>
                <w:szCs w:val="16"/>
                <w:color w:val="000000"/>
              </w:rPr>
              <w:t>*</w:t>
            </w:r>
          </w:p>
        </w:tc>
      </w:tr>
      <w:tr>
        <w:trPr>
          <w:trHeight w:val="20"/>
        </w:trPr>
        <w:tc>
          <w:tcPr>
            <w:tcW w:w="1220" w:type="dxa"/>
            <w:vAlign w:val="bottom"/>
          </w:tcPr>
          <w:p>
            <w:pPr>
              <w:spacing w:after="0" w:line="20" w:lineRule="exact"/>
              <w:rPr>
                <w:sz w:val="1"/>
                <w:szCs w:val="1"/>
                <w:color w:val="auto"/>
              </w:rPr>
            </w:pPr>
          </w:p>
        </w:tc>
        <w:tc>
          <w:tcPr>
            <w:tcW w:w="7200" w:type="dxa"/>
            <w:vAlign w:val="bottom"/>
            <w:gridSpan w:val="2"/>
            <w:shd w:val="clear" w:color="auto" w:fill="0000FF"/>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r>
      <w:tr>
        <w:trPr>
          <w:trHeight w:val="196"/>
        </w:trPr>
        <w:tc>
          <w:tcPr>
            <w:tcW w:w="1220" w:type="dxa"/>
            <w:vAlign w:val="bottom"/>
          </w:tcPr>
          <w:p>
            <w:pPr>
              <w:ind w:left="20"/>
              <w:spacing w:after="0"/>
              <w:rPr>
                <w:sz w:val="20"/>
                <w:szCs w:val="20"/>
                <w:color w:val="auto"/>
              </w:rPr>
            </w:pPr>
            <w:r>
              <w:rPr>
                <w:rFonts w:ascii="Arial" w:cs="Arial" w:eastAsia="Arial" w:hAnsi="Arial"/>
                <w:sz w:val="16"/>
                <w:szCs w:val="16"/>
                <w:color w:val="auto"/>
              </w:rPr>
              <w:t>32.1</w:t>
            </w:r>
          </w:p>
        </w:tc>
        <w:tc>
          <w:tcPr>
            <w:tcW w:w="9100" w:type="dxa"/>
            <w:vAlign w:val="bottom"/>
            <w:gridSpan w:val="6"/>
          </w:tcPr>
          <w:p>
            <w:pPr>
              <w:spacing w:after="0"/>
              <w:rPr>
                <w:sz w:val="20"/>
                <w:szCs w:val="20"/>
                <w:color w:val="auto"/>
              </w:rPr>
            </w:pPr>
            <w:r>
              <w:rPr>
                <w:rFonts w:ascii="Arial" w:cs="Arial" w:eastAsia="Arial" w:hAnsi="Arial"/>
                <w:sz w:val="16"/>
                <w:szCs w:val="16"/>
                <w:color w:val="0000FF"/>
              </w:rPr>
              <w:t>Certification of Principal Executive Officer pursuant to Section 906 of the Sarbanes-Oxley Act of 2002</w:t>
            </w:r>
            <w:r>
              <w:rPr>
                <w:rFonts w:ascii="Arial" w:cs="Arial" w:eastAsia="Arial" w:hAnsi="Arial"/>
                <w:sz w:val="16"/>
                <w:szCs w:val="16"/>
                <w:color w:val="000000"/>
              </w:rPr>
              <w:t>**</w:t>
            </w:r>
          </w:p>
        </w:tc>
      </w:tr>
      <w:tr>
        <w:trPr>
          <w:trHeight w:val="20"/>
        </w:trPr>
        <w:tc>
          <w:tcPr>
            <w:tcW w:w="1220" w:type="dxa"/>
            <w:vAlign w:val="bottom"/>
          </w:tcPr>
          <w:p>
            <w:pPr>
              <w:spacing w:after="0" w:line="20" w:lineRule="exact"/>
              <w:rPr>
                <w:sz w:val="1"/>
                <w:szCs w:val="1"/>
                <w:color w:val="auto"/>
              </w:rPr>
            </w:pPr>
          </w:p>
        </w:tc>
        <w:tc>
          <w:tcPr>
            <w:tcW w:w="7200" w:type="dxa"/>
            <w:vAlign w:val="bottom"/>
            <w:gridSpan w:val="2"/>
            <w:shd w:val="clear" w:color="auto" w:fill="0000FF"/>
          </w:tcPr>
          <w:p>
            <w:pPr>
              <w:spacing w:after="0" w:line="20" w:lineRule="exact"/>
              <w:rPr>
                <w:sz w:val="1"/>
                <w:szCs w:val="1"/>
                <w:color w:val="auto"/>
              </w:rPr>
            </w:pPr>
          </w:p>
        </w:tc>
        <w:tc>
          <w:tcPr>
            <w:tcW w:w="1900" w:type="dxa"/>
            <w:vAlign w:val="bottom"/>
            <w:tcBorders>
              <w:left w:val="single" w:sz="8" w:color="0000FF"/>
            </w:tcBorders>
            <w:gridSpan w:val="4"/>
          </w:tcPr>
          <w:p>
            <w:pPr>
              <w:spacing w:after="0" w:line="20" w:lineRule="exact"/>
              <w:rPr>
                <w:sz w:val="1"/>
                <w:szCs w:val="1"/>
                <w:color w:val="auto"/>
              </w:rPr>
            </w:pPr>
          </w:p>
        </w:tc>
      </w:tr>
      <w:tr>
        <w:trPr>
          <w:trHeight w:val="196"/>
        </w:trPr>
        <w:tc>
          <w:tcPr>
            <w:tcW w:w="1220" w:type="dxa"/>
            <w:vAlign w:val="bottom"/>
          </w:tcPr>
          <w:p>
            <w:pPr>
              <w:ind w:left="20"/>
              <w:spacing w:after="0"/>
              <w:rPr>
                <w:sz w:val="20"/>
                <w:szCs w:val="20"/>
                <w:color w:val="auto"/>
              </w:rPr>
            </w:pPr>
            <w:r>
              <w:rPr>
                <w:rFonts w:ascii="Arial" w:cs="Arial" w:eastAsia="Arial" w:hAnsi="Arial"/>
                <w:sz w:val="16"/>
                <w:szCs w:val="16"/>
                <w:color w:val="auto"/>
              </w:rPr>
              <w:t>32.2</w:t>
            </w:r>
          </w:p>
        </w:tc>
        <w:tc>
          <w:tcPr>
            <w:tcW w:w="9100" w:type="dxa"/>
            <w:vAlign w:val="bottom"/>
            <w:gridSpan w:val="6"/>
          </w:tcPr>
          <w:p>
            <w:pPr>
              <w:spacing w:after="0"/>
              <w:rPr>
                <w:sz w:val="20"/>
                <w:szCs w:val="20"/>
                <w:color w:val="auto"/>
              </w:rPr>
            </w:pPr>
            <w:r>
              <w:rPr>
                <w:rFonts w:ascii="Arial" w:cs="Arial" w:eastAsia="Arial" w:hAnsi="Arial"/>
                <w:sz w:val="16"/>
                <w:szCs w:val="16"/>
                <w:color w:val="0000FF"/>
              </w:rPr>
              <w:t>Certification of Principal Financial Officer pursuant to Section 906 of the Sarbanes-Oxley Act of 2002</w:t>
            </w:r>
            <w:r>
              <w:rPr>
                <w:rFonts w:ascii="Arial" w:cs="Arial" w:eastAsia="Arial" w:hAnsi="Arial"/>
                <w:sz w:val="16"/>
                <w:szCs w:val="16"/>
                <w:color w:val="000000"/>
              </w:rPr>
              <w:t>**</w:t>
            </w:r>
          </w:p>
        </w:tc>
      </w:tr>
      <w:tr>
        <w:trPr>
          <w:trHeight w:val="20"/>
        </w:trPr>
        <w:tc>
          <w:tcPr>
            <w:tcW w:w="1220" w:type="dxa"/>
            <w:vAlign w:val="bottom"/>
          </w:tcPr>
          <w:p>
            <w:pPr>
              <w:spacing w:after="0" w:line="20" w:lineRule="exact"/>
              <w:rPr>
                <w:sz w:val="1"/>
                <w:szCs w:val="1"/>
                <w:color w:val="auto"/>
              </w:rPr>
            </w:pPr>
          </w:p>
        </w:tc>
        <w:tc>
          <w:tcPr>
            <w:tcW w:w="7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6" w:lineRule="exact"/>
        <w:rPr>
          <w:sz w:val="20"/>
          <w:szCs w:val="20"/>
          <w:color w:val="auto"/>
        </w:rPr>
      </w:pPr>
    </w:p>
    <w:p>
      <w:pPr>
        <w:ind w:left="1220" w:right="140" w:hanging="1194"/>
        <w:spacing w:after="0" w:line="225" w:lineRule="auto"/>
        <w:tabs>
          <w:tab w:leader="none" w:pos="12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following financial information from the Company's Quarterly Report on Form 10-Q for the quarter ended March 31, 2026, is formatted in Inline Extensible Business Reporting Language (XBRL): (i) the Unaudited Consolidated Balance Sheets, (ii) the Unaudited Consolidated Statements of Income, (iii) the Unaudited Consolidated Statements of Comprehensive Income, (iv) the Unaudited Consolidated Statements of Changes in Stockholders' Equity, (v) the Unaudited Consolidated Statements of Cash Flows, and (vi) the Notes to Unaudited Consolidated Financial Statements.</w:t>
      </w:r>
    </w:p>
    <w:tbl>
      <w:tblPr>
        <w:tblLayout w:type="fixed"/>
        <w:tblInd w:w="20" w:type="dxa"/>
        <w:tblCellMar>
          <w:top w:w="0" w:type="dxa"/>
          <w:left w:w="0" w:type="dxa"/>
          <w:bottom w:w="0" w:type="dxa"/>
          <w:right w:w="0" w:type="dxa"/>
        </w:tblCellMar>
      </w:tblPr>
      <w:tr>
        <w:trPr>
          <w:trHeight w:val="164"/>
        </w:trPr>
        <w:tc>
          <w:tcPr>
            <w:tcW w:w="940" w:type="dxa"/>
            <w:vAlign w:val="bottom"/>
          </w:tcPr>
          <w:p>
            <w:pPr>
              <w:spacing w:after="0" w:line="165" w:lineRule="exact"/>
              <w:rPr>
                <w:sz w:val="20"/>
                <w:szCs w:val="20"/>
                <w:color w:val="auto"/>
              </w:rPr>
            </w:pPr>
            <w:r>
              <w:rPr>
                <w:rFonts w:ascii="Arial" w:cs="Arial" w:eastAsia="Arial" w:hAnsi="Arial"/>
                <w:sz w:val="16"/>
                <w:szCs w:val="16"/>
                <w:color w:val="auto"/>
              </w:rPr>
              <w:t>101.INS</w:t>
            </w:r>
          </w:p>
        </w:tc>
        <w:tc>
          <w:tcPr>
            <w:tcW w:w="9560" w:type="dxa"/>
            <w:vAlign w:val="bottom"/>
          </w:tcPr>
          <w:p>
            <w:pPr>
              <w:ind w:left="260"/>
              <w:spacing w:after="0" w:line="165" w:lineRule="exact"/>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w:t>
            </w:r>
          </w:p>
        </w:tc>
      </w:tr>
      <w:tr>
        <w:trPr>
          <w:trHeight w:val="215"/>
        </w:trPr>
        <w:tc>
          <w:tcPr>
            <w:tcW w:w="940" w:type="dxa"/>
            <w:vAlign w:val="bottom"/>
          </w:tcPr>
          <w:p>
            <w:pPr>
              <w:spacing w:after="0"/>
              <w:rPr>
                <w:sz w:val="18"/>
                <w:szCs w:val="18"/>
                <w:color w:val="auto"/>
              </w:rPr>
            </w:pPr>
          </w:p>
        </w:tc>
        <w:tc>
          <w:tcPr>
            <w:tcW w:w="9560" w:type="dxa"/>
            <w:vAlign w:val="bottom"/>
          </w:tcPr>
          <w:p>
            <w:pPr>
              <w:ind w:left="260"/>
              <w:spacing w:after="0"/>
              <w:rPr>
                <w:sz w:val="20"/>
                <w:szCs w:val="20"/>
                <w:color w:val="auto"/>
              </w:rPr>
            </w:pPr>
            <w:r>
              <w:rPr>
                <w:rFonts w:ascii="Arial" w:cs="Arial" w:eastAsia="Arial" w:hAnsi="Arial"/>
                <w:sz w:val="16"/>
                <w:szCs w:val="16"/>
                <w:color w:val="auto"/>
              </w:rPr>
              <w:t>embedded within the Inline XBRL document.</w:t>
            </w:r>
          </w:p>
        </w:tc>
      </w:tr>
      <w:tr>
        <w:trPr>
          <w:trHeight w:val="215"/>
        </w:trPr>
        <w:tc>
          <w:tcPr>
            <w:tcW w:w="940" w:type="dxa"/>
            <w:vAlign w:val="bottom"/>
          </w:tcPr>
          <w:p>
            <w:pPr>
              <w:spacing w:after="0"/>
              <w:rPr>
                <w:sz w:val="20"/>
                <w:szCs w:val="20"/>
                <w:color w:val="auto"/>
              </w:rPr>
            </w:pPr>
            <w:r>
              <w:rPr>
                <w:rFonts w:ascii="Arial" w:cs="Arial" w:eastAsia="Arial" w:hAnsi="Arial"/>
                <w:sz w:val="16"/>
                <w:szCs w:val="16"/>
                <w:color w:val="auto"/>
              </w:rPr>
              <w:t>101.SCH</w:t>
            </w:r>
          </w:p>
        </w:tc>
        <w:tc>
          <w:tcPr>
            <w:tcW w:w="9560" w:type="dxa"/>
            <w:vAlign w:val="bottom"/>
          </w:tcPr>
          <w:p>
            <w:pPr>
              <w:ind w:left="260"/>
              <w:spacing w:after="0"/>
              <w:rPr>
                <w:sz w:val="20"/>
                <w:szCs w:val="20"/>
                <w:color w:val="auto"/>
              </w:rPr>
            </w:pPr>
            <w:r>
              <w:rPr>
                <w:rFonts w:ascii="Arial" w:cs="Arial" w:eastAsia="Arial" w:hAnsi="Arial"/>
                <w:sz w:val="16"/>
                <w:szCs w:val="16"/>
                <w:color w:val="auto"/>
              </w:rPr>
              <w:t>Inline XBRL Taxonomy Extension Schema Document*</w:t>
            </w:r>
          </w:p>
        </w:tc>
      </w:tr>
      <w:tr>
        <w:trPr>
          <w:trHeight w:val="216"/>
        </w:trPr>
        <w:tc>
          <w:tcPr>
            <w:tcW w:w="940" w:type="dxa"/>
            <w:vAlign w:val="bottom"/>
          </w:tcPr>
          <w:p>
            <w:pPr>
              <w:spacing w:after="0"/>
              <w:rPr>
                <w:sz w:val="20"/>
                <w:szCs w:val="20"/>
                <w:color w:val="auto"/>
              </w:rPr>
            </w:pPr>
            <w:r>
              <w:rPr>
                <w:rFonts w:ascii="Arial" w:cs="Arial" w:eastAsia="Arial" w:hAnsi="Arial"/>
                <w:sz w:val="16"/>
                <w:szCs w:val="16"/>
                <w:color w:val="auto"/>
              </w:rPr>
              <w:t>101.CAL</w:t>
            </w:r>
          </w:p>
        </w:tc>
        <w:tc>
          <w:tcPr>
            <w:tcW w:w="9560" w:type="dxa"/>
            <w:vAlign w:val="bottom"/>
          </w:tcPr>
          <w:p>
            <w:pPr>
              <w:ind w:left="26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16"/>
        </w:trPr>
        <w:tc>
          <w:tcPr>
            <w:tcW w:w="940" w:type="dxa"/>
            <w:vAlign w:val="bottom"/>
          </w:tcPr>
          <w:p>
            <w:pPr>
              <w:spacing w:after="0"/>
              <w:rPr>
                <w:sz w:val="20"/>
                <w:szCs w:val="20"/>
                <w:color w:val="auto"/>
              </w:rPr>
            </w:pPr>
            <w:r>
              <w:rPr>
                <w:rFonts w:ascii="Arial" w:cs="Arial" w:eastAsia="Arial" w:hAnsi="Arial"/>
                <w:sz w:val="16"/>
                <w:szCs w:val="16"/>
                <w:color w:val="auto"/>
              </w:rPr>
              <w:t>101.DEF</w:t>
            </w:r>
          </w:p>
        </w:tc>
        <w:tc>
          <w:tcPr>
            <w:tcW w:w="9560" w:type="dxa"/>
            <w:vAlign w:val="bottom"/>
          </w:tcPr>
          <w:p>
            <w:pPr>
              <w:ind w:left="260"/>
              <w:spacing w:after="0"/>
              <w:rPr>
                <w:sz w:val="20"/>
                <w:szCs w:val="20"/>
                <w:color w:val="auto"/>
              </w:rPr>
            </w:pPr>
            <w:r>
              <w:rPr>
                <w:rFonts w:ascii="Arial" w:cs="Arial" w:eastAsia="Arial" w:hAnsi="Arial"/>
                <w:sz w:val="16"/>
                <w:szCs w:val="16"/>
                <w:color w:val="auto"/>
              </w:rPr>
              <w:t>Inline XBRL Taxonomy Extension Definitions Linkbase Document*</w:t>
            </w:r>
          </w:p>
        </w:tc>
      </w:tr>
      <w:tr>
        <w:trPr>
          <w:trHeight w:val="216"/>
        </w:trPr>
        <w:tc>
          <w:tcPr>
            <w:tcW w:w="940" w:type="dxa"/>
            <w:vAlign w:val="bottom"/>
          </w:tcPr>
          <w:p>
            <w:pPr>
              <w:spacing w:after="0"/>
              <w:rPr>
                <w:sz w:val="20"/>
                <w:szCs w:val="20"/>
                <w:color w:val="auto"/>
              </w:rPr>
            </w:pPr>
            <w:r>
              <w:rPr>
                <w:rFonts w:ascii="Arial" w:cs="Arial" w:eastAsia="Arial" w:hAnsi="Arial"/>
                <w:sz w:val="16"/>
                <w:szCs w:val="16"/>
                <w:color w:val="auto"/>
              </w:rPr>
              <w:t>101.LAB</w:t>
            </w:r>
          </w:p>
        </w:tc>
        <w:tc>
          <w:tcPr>
            <w:tcW w:w="9560" w:type="dxa"/>
            <w:vAlign w:val="bottom"/>
          </w:tcPr>
          <w:p>
            <w:pPr>
              <w:ind w:left="26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16"/>
        </w:trPr>
        <w:tc>
          <w:tcPr>
            <w:tcW w:w="940" w:type="dxa"/>
            <w:vAlign w:val="bottom"/>
          </w:tcPr>
          <w:p>
            <w:pPr>
              <w:spacing w:after="0"/>
              <w:rPr>
                <w:sz w:val="20"/>
                <w:szCs w:val="20"/>
                <w:color w:val="auto"/>
              </w:rPr>
            </w:pPr>
            <w:r>
              <w:rPr>
                <w:rFonts w:ascii="Arial" w:cs="Arial" w:eastAsia="Arial" w:hAnsi="Arial"/>
                <w:sz w:val="16"/>
                <w:szCs w:val="16"/>
                <w:color w:val="auto"/>
              </w:rPr>
              <w:t>101.PRE</w:t>
            </w:r>
          </w:p>
        </w:tc>
        <w:tc>
          <w:tcPr>
            <w:tcW w:w="9560" w:type="dxa"/>
            <w:vAlign w:val="bottom"/>
          </w:tcPr>
          <w:p>
            <w:pPr>
              <w:ind w:left="260"/>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1" w:lineRule="exact"/>
        <w:rPr>
          <w:sz w:val="20"/>
          <w:szCs w:val="20"/>
          <w:color w:val="auto"/>
        </w:rPr>
      </w:pPr>
    </w:p>
    <w:p>
      <w:pPr>
        <w:ind w:left="1220" w:right="60" w:hanging="1194"/>
        <w:spacing w:after="0" w:line="246" w:lineRule="auto"/>
        <w:tabs>
          <w:tab w:leader="none" w:pos="12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Cover Page Interactive Data File* - Formatted as Inline XBRL and contained within the Inline XBRL Instance Document in Exhibit 101.</w:t>
      </w:r>
    </w:p>
    <w:p>
      <w:pPr>
        <w:spacing w:after="0" w:line="1" w:lineRule="exact"/>
        <w:rPr>
          <w:sz w:val="20"/>
          <w:szCs w:val="20"/>
          <w:color w:val="auto"/>
        </w:rPr>
      </w:pPr>
    </w:p>
    <w:p>
      <w:pPr>
        <w:ind w:left="1220" w:hanging="1194"/>
        <w:spacing w:after="0"/>
        <w:tabs>
          <w:tab w:leader="none" w:pos="12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32" w:lineRule="exact"/>
        <w:rPr>
          <w:sz w:val="20"/>
          <w:szCs w:val="20"/>
          <w:color w:val="auto"/>
        </w:rPr>
      </w:pPr>
    </w:p>
    <w:p>
      <w:pPr>
        <w:ind w:left="1220" w:right="120" w:hanging="1194"/>
        <w:spacing w:after="0" w:line="234" w:lineRule="auto"/>
        <w:tabs>
          <w:tab w:leader="none" w:pos="12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These exhibits are furnished herewith and shall not be deemed “filed” for purposes of Section 18 of the Exchange Act, or otherwise subject to the liability of that section, and shall not be deemed to be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125" w:right="1059" w:bottom="1440" w:gutter="0" w:footer="0" w:header="0"/>
        </w:sectPr>
      </w:pPr>
    </w:p>
    <w:bookmarkStart w:id="53" w:name="page54"/>
    <w:bookmarkEnd w:id="5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SIGNATURES</w:t>
      </w:r>
    </w:p>
    <w:p>
      <w:pPr>
        <w:spacing w:after="0" w:line="19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91" w:lineRule="exact"/>
        <w:rPr>
          <w:sz w:val="20"/>
          <w:szCs w:val="20"/>
          <w:color w:val="auto"/>
        </w:rPr>
      </w:pPr>
    </w:p>
    <w:p>
      <w:pPr>
        <w:ind w:left="5140"/>
        <w:spacing w:after="0"/>
        <w:rPr>
          <w:sz w:val="20"/>
          <w:szCs w:val="20"/>
          <w:color w:val="auto"/>
        </w:rPr>
      </w:pPr>
      <w:r>
        <w:rPr>
          <w:rFonts w:ascii="Arial" w:cs="Arial" w:eastAsia="Arial" w:hAnsi="Arial"/>
          <w:sz w:val="16"/>
          <w:szCs w:val="16"/>
          <w:b w:val="1"/>
          <w:bCs w:val="1"/>
          <w:color w:val="auto"/>
        </w:rPr>
        <w:t>RED RIVER BANCSHARES, INC.</w:t>
      </w:r>
    </w:p>
    <w:p>
      <w:pPr>
        <w:spacing w:after="0" w:line="289" w:lineRule="exact"/>
        <w:rPr>
          <w:sz w:val="20"/>
          <w:szCs w:val="20"/>
          <w:color w:val="auto"/>
        </w:rPr>
      </w:pPr>
    </w:p>
    <w:p>
      <w:pPr>
        <w:ind w:left="20"/>
        <w:spacing w:after="0"/>
        <w:tabs>
          <w:tab w:leader="none" w:pos="5120" w:val="left"/>
          <w:tab w:leader="none" w:pos="5600" w:val="left"/>
        </w:tabs>
        <w:rPr>
          <w:sz w:val="20"/>
          <w:szCs w:val="20"/>
          <w:color w:val="auto"/>
        </w:rPr>
      </w:pPr>
      <w:r>
        <w:rPr>
          <w:rFonts w:ascii="Arial" w:cs="Arial" w:eastAsia="Arial" w:hAnsi="Arial"/>
          <w:sz w:val="16"/>
          <w:szCs w:val="16"/>
          <w:color w:val="auto"/>
        </w:rPr>
        <w:t>Date: May 8, 2026</w:t>
      </w:r>
      <w:r>
        <w:rPr>
          <w:sz w:val="20"/>
          <w:szCs w:val="20"/>
          <w:color w:val="auto"/>
        </w:rPr>
        <w:tab/>
      </w:r>
      <w:r>
        <w:rPr>
          <w:rFonts w:ascii="Arial" w:cs="Arial" w:eastAsia="Arial" w:hAnsi="Arial"/>
          <w:sz w:val="16"/>
          <w:szCs w:val="16"/>
          <w:color w:val="auto"/>
        </w:rPr>
        <w:t>By:</w:t>
        <w:tab/>
        <w:t>/s/ R. Blake Chatelain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20955</wp:posOffset>
            </wp:positionV>
            <wp:extent cx="35833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R. Blake Chatelain</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President and Chief Executive Officer</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(Principal Executive Officer)</w:t>
      </w:r>
    </w:p>
    <w:p>
      <w:pPr>
        <w:spacing w:after="0" w:line="289" w:lineRule="exact"/>
        <w:rPr>
          <w:sz w:val="20"/>
          <w:szCs w:val="20"/>
          <w:color w:val="auto"/>
        </w:rPr>
      </w:pPr>
    </w:p>
    <w:p>
      <w:pPr>
        <w:ind w:left="20"/>
        <w:spacing w:after="0"/>
        <w:tabs>
          <w:tab w:leader="none" w:pos="5120" w:val="left"/>
          <w:tab w:leader="none" w:pos="5600" w:val="left"/>
        </w:tabs>
        <w:rPr>
          <w:sz w:val="20"/>
          <w:szCs w:val="20"/>
          <w:color w:val="auto"/>
        </w:rPr>
      </w:pPr>
      <w:r>
        <w:rPr>
          <w:rFonts w:ascii="Arial" w:cs="Arial" w:eastAsia="Arial" w:hAnsi="Arial"/>
          <w:sz w:val="16"/>
          <w:szCs w:val="16"/>
          <w:color w:val="auto"/>
        </w:rPr>
        <w:t>Date: May 8, 2026</w:t>
      </w:r>
      <w:r>
        <w:rPr>
          <w:sz w:val="20"/>
          <w:szCs w:val="20"/>
          <w:color w:val="auto"/>
        </w:rPr>
        <w:tab/>
      </w:r>
      <w:r>
        <w:rPr>
          <w:rFonts w:ascii="Arial" w:cs="Arial" w:eastAsia="Arial" w:hAnsi="Arial"/>
          <w:sz w:val="16"/>
          <w:szCs w:val="16"/>
          <w:color w:val="auto"/>
        </w:rPr>
        <w:t>By:</w:t>
        <w:tab/>
        <w:t>/s/ Isabel V. Carriere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20955</wp:posOffset>
            </wp:positionV>
            <wp:extent cx="35833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Isabel V. Carriere, CPA, CGMA</w:t>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Senior Executive Vice President, Chief Financial Officer, and Assistant</w:t>
      </w:r>
    </w:p>
    <w:p>
      <w:pPr>
        <w:ind w:left="5620"/>
        <w:spacing w:after="0"/>
        <w:rPr>
          <w:sz w:val="20"/>
          <w:szCs w:val="20"/>
          <w:color w:val="auto"/>
        </w:rPr>
      </w:pPr>
      <w:r>
        <w:rPr>
          <w:rFonts w:ascii="Arial" w:cs="Arial" w:eastAsia="Arial" w:hAnsi="Arial"/>
          <w:sz w:val="16"/>
          <w:szCs w:val="16"/>
          <w:color w:val="auto"/>
        </w:rPr>
        <w:t>Corporate Secretary</w:t>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000"/>
          </w:cols>
          <w:pgMar w:left="320" w:top="125" w:right="57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CHANGE IN CONTROL AGREEMENT</w:t>
      </w:r>
    </w:p>
    <w:p>
      <w:pPr>
        <w:spacing w:after="0" w:line="20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AMENDMENT NO. 1 TO AMENDED AND RESTATED CHANGE IN CONTROL AGREEMENT (this “Amendment”) between Red River Bancshares, Inc. (the “Company”), a Louisiana corporation with its principal office in Alexandria, Louisiana, and Bryon C. Salazar (the “Officer”) is dated effective March 31, 2026 (the “Amendment Date”).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RECITALS:</w:t>
      </w:r>
    </w:p>
    <w:p>
      <w:pPr>
        <w:spacing w:after="0" w:line="220" w:lineRule="exact"/>
        <w:rPr>
          <w:sz w:val="20"/>
          <w:szCs w:val="20"/>
          <w:color w:val="auto"/>
        </w:rPr>
      </w:pPr>
    </w:p>
    <w:p>
      <w:pPr>
        <w:jc w:val="both"/>
        <w:ind w:firstLine="656"/>
        <w:spacing w:after="0" w:line="256" w:lineRule="auto"/>
        <w:tabs>
          <w:tab w:leader="none" w:pos="129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which is the parent bank holding company of Red River Bank (the “Bank”), a Louisiana state banking corporation, and the Officer are parties to an Amended and Restated Change in Control Agreement, dated effective January 14, 2014 (the “Agreement”). Capitalized terms used but not defined herein shall have the meaning given in the Agreement.</w:t>
      </w:r>
    </w:p>
    <w:p>
      <w:pPr>
        <w:spacing w:after="0" w:line="176" w:lineRule="exact"/>
        <w:rPr>
          <w:rFonts w:ascii="Times New Roman" w:cs="Times New Roman" w:eastAsia="Times New Roman" w:hAnsi="Times New Roman"/>
          <w:sz w:val="22"/>
          <w:szCs w:val="22"/>
          <w:color w:val="auto"/>
        </w:rPr>
      </w:pPr>
    </w:p>
    <w:p>
      <w:pPr>
        <w:ind w:firstLine="656"/>
        <w:spacing w:after="0" w:line="271" w:lineRule="auto"/>
        <w:tabs>
          <w:tab w:leader="none" w:pos="129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desire to amend the Agreement as of the Amendment Date to make certain non-substantive changes designed to comply with Section 409A of the Code.</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NOW THEREFORE, in consideration of the Officer’s continued employment and for good and valuable consideration the receipt and sufficiency of which are hereby acknowledged, the Company and the Officer agree to amend the Agreement as follows:</w:t>
      </w:r>
    </w:p>
    <w:p>
      <w:pPr>
        <w:spacing w:after="0" w:line="167" w:lineRule="exact"/>
        <w:rPr>
          <w:sz w:val="20"/>
          <w:szCs w:val="20"/>
          <w:color w:val="auto"/>
        </w:rPr>
      </w:pPr>
    </w:p>
    <w:p>
      <w:pPr>
        <w:ind w:right="20" w:firstLine="656"/>
        <w:spacing w:after="0" w:line="271" w:lineRule="auto"/>
        <w:tabs>
          <w:tab w:leader="none" w:pos="12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1.1(c) of the Agreement is revised to add the following new paragraph to the end of the definition of “Change in Control”:</w:t>
      </w:r>
    </w:p>
    <w:p>
      <w:pPr>
        <w:spacing w:after="0" w:line="158" w:lineRule="exact"/>
        <w:rPr>
          <w:sz w:val="20"/>
          <w:szCs w:val="20"/>
          <w:color w:val="auto"/>
        </w:rPr>
      </w:pPr>
    </w:p>
    <w:p>
      <w:pPr>
        <w:ind w:left="1300" w:right="280"/>
        <w:spacing w:after="0" w:line="253" w:lineRule="auto"/>
        <w:rPr>
          <w:sz w:val="20"/>
          <w:szCs w:val="20"/>
          <w:color w:val="auto"/>
        </w:rPr>
      </w:pPr>
      <w:r>
        <w:rPr>
          <w:rFonts w:ascii="Times New Roman" w:cs="Times New Roman" w:eastAsia="Times New Roman" w:hAnsi="Times New Roman"/>
          <w:sz w:val="22"/>
          <w:szCs w:val="22"/>
          <w:color w:val="auto"/>
        </w:rPr>
        <w:t>Notwithstanding the above, if the Officer is terminated involuntarily, other than for Cause (or due to death or Disability), during the three (3) month period prior to a Change in Control, such Change in Control must also constitute a “change in the ownership”, “change in effective control”, and/or a “change in the ownership of a substantial portion of assets” of the Bank or the Company as those terms are defined under Treasury Regulation §1.409A-3(i)(5), to the extent necessary to avoid the imposition of taxes under Section 409A.</w:t>
      </w:r>
    </w:p>
    <w:p>
      <w:pPr>
        <w:spacing w:after="0" w:line="179" w:lineRule="exact"/>
        <w:rPr>
          <w:sz w:val="20"/>
          <w:szCs w:val="20"/>
          <w:color w:val="auto"/>
        </w:rPr>
      </w:pPr>
    </w:p>
    <w:p>
      <w:pPr>
        <w:jc w:val="both"/>
        <w:ind w:right="20" w:firstLine="656"/>
        <w:spacing w:after="0" w:line="263" w:lineRule="auto"/>
        <w:tabs>
          <w:tab w:leader="none" w:pos="129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2.1 of the Agreement is revised to acknowledge the potential apportionment of responsibility for the severance payment obligations between the Company and the Bank and to clarify the payment timing and procedures with respect to the COBRA benefits provided under the Agreement, and shall read in its entirety as follows:</w:t>
      </w:r>
    </w:p>
    <w:p>
      <w:pPr>
        <w:spacing w:after="0" w:line="167"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22"/>
          <w:szCs w:val="22"/>
          <w:color w:val="auto"/>
        </w:rPr>
        <w:t>2.1. If the events set forth in Section 2.2 below occur, the Company or the Bank (or both, depending on the apportionment of services provided by the Officer during his employment) shall (1) pay to the Officer, in cash, a lump sum amount equal to two hundred percent (200%) of the amount of the Officer’s Base Salary (the “Severance Benefit”), and (2) from the date the events set forth in Section 2.2 below occur, pay the monthly premium for twelve months for the Officer individually to continue, without interruption, the Officer’s medical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55" w:name="page56"/>
    <w:bookmarkEnd w:id="55"/>
    <w:p>
      <w:pPr>
        <w:jc w:val="both"/>
        <w:ind w:left="1300"/>
        <w:spacing w:after="0" w:line="250" w:lineRule="auto"/>
        <w:rPr>
          <w:sz w:val="20"/>
          <w:szCs w:val="20"/>
          <w:color w:val="auto"/>
        </w:rPr>
      </w:pPr>
      <w:r>
        <w:rPr>
          <w:rFonts w:ascii="Times New Roman" w:cs="Times New Roman" w:eastAsia="Times New Roman" w:hAnsi="Times New Roman"/>
          <w:sz w:val="21"/>
          <w:szCs w:val="21"/>
          <w:color w:val="auto"/>
        </w:rPr>
        <w:t>benefits coverage under the Consolidated Omnibus Budget Reconciliation Act of 1986, as amended (“COBRA”) (the “COBRA Benefits”) (or if the Officer elects to continue medical benefits for his entire family under COBRA, then the amount of the COBRA Benefits will be applied toward the amounts due for the COBRA coverage, but the Officer shall be responsible for paying the difference); provided, however, if the Severance Benefit combined with the COBRA Benefits, either alone or together with other payments which the Officer has the right to receive from the Company or the Bank in connection with any of the events set forth in Section 2.2 below, would constitute an “excess parachute payment” under Section 280G of the Code, the Severance Benefit that would otherwise be due hereunder shall be reduced to the largest amount as will result in no portion of all such payments due to the Officer being non-deductible to the Bank or the Company under Section 280G of the Code; provided, further, that the Company may withhold from any amounts payable under this Agreement such federal, state or local taxes as shall be required to be withheld pursuant to any applicable law or regulation. Notwithstanding any provision of this Agreement to the contrary, neither the Company nor the Bank shall be required to pay any benefit under this Agreement if, upon the advice of counsel, the Bank determines that the payment of such benefit would be prohibited by 12 C.F.R. Part 359 or any successor regulations regarding employee compensation promulgated by any regulatory agency having jurisdiction over the Company, the Bank or its affiliates. Except as otherwise provided in Section 5.11 and 5.12(c), and subject to the satisfaction of the condition set forth in Section 5.4, (i) the Severance Benefit shall be paid to the Officer on the sixtieth (60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following the Officer’s termination date set forth in Section 2.2 (or, if later, the sixtieth (60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following the effective date of the Change in Control) and</w:t>
      </w:r>
    </w:p>
    <w:p>
      <w:pPr>
        <w:spacing w:after="0" w:line="10" w:lineRule="exact"/>
        <w:rPr>
          <w:sz w:val="20"/>
          <w:szCs w:val="20"/>
          <w:color w:val="auto"/>
        </w:rPr>
      </w:pPr>
    </w:p>
    <w:p>
      <w:pPr>
        <w:jc w:val="both"/>
        <w:ind w:left="1300" w:firstLine="4"/>
        <w:spacing w:after="0" w:line="217" w:lineRule="auto"/>
        <w:tabs>
          <w:tab w:leader="none" w:pos="1645"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COBRA Benefits will commence on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Officer’s termination date set forth in Section 2.2 (or, if later,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effective date of the Change of Control), and Officer will be reimbursed for any COBRA Benefits that Officer paid prior to such date and are payable by the Bank or Company pursuant to the Agreement.</w:t>
      </w:r>
    </w:p>
    <w:p>
      <w:pPr>
        <w:spacing w:after="0" w:line="191"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5.3 of the Agreement is revised to remove the proviso at the end of the section, and shall read in its entirety as follows:</w:t>
      </w:r>
    </w:p>
    <w:p>
      <w:pPr>
        <w:spacing w:after="0" w:line="171" w:lineRule="exact"/>
        <w:rPr>
          <w:sz w:val="20"/>
          <w:szCs w:val="20"/>
          <w:color w:val="auto"/>
        </w:rPr>
      </w:pPr>
    </w:p>
    <w:p>
      <w:pPr>
        <w:jc w:val="both"/>
        <w:ind w:left="1300"/>
        <w:spacing w:after="0" w:line="252"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Non-exclusivity of Rights</w:t>
      </w:r>
      <w:r>
        <w:rPr>
          <w:rFonts w:ascii="Times New Roman" w:cs="Times New Roman" w:eastAsia="Times New Roman" w:hAnsi="Times New Roman"/>
          <w:sz w:val="22"/>
          <w:szCs w:val="22"/>
          <w:color w:val="auto"/>
        </w:rPr>
        <w:t>. Nothing in this Agreement shall prevent or limit the Officer’s continuing or future participation in any benefit, bonus, incentive or other plans, programs, policies or practices, provided by the Company or the Bank and for which the Officer may qualify, nor shall anything herein limit or otherwise affect such rights as the Officer may have under any other agreements with the Company or the Bank.</w:t>
      </w:r>
    </w:p>
    <w:p>
      <w:pPr>
        <w:spacing w:after="0" w:line="179" w:lineRule="exact"/>
        <w:rPr>
          <w:sz w:val="20"/>
          <w:szCs w:val="20"/>
          <w:color w:val="auto"/>
        </w:rPr>
      </w:pPr>
    </w:p>
    <w:p>
      <w:pPr>
        <w:ind w:firstLine="656"/>
        <w:spacing w:after="0" w:line="271" w:lineRule="auto"/>
        <w:tabs>
          <w:tab w:leader="none" w:pos="129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sentence of Section 5.4 of the Agreement is revised to clarify that the waiver and release of claims must be effective to satisfy the Officer’s obligations under the Agreement, and shall read in its entirety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56" w:name="page57"/>
    <w:bookmarkEnd w:id="56"/>
    <w:p>
      <w:pPr>
        <w:jc w:val="both"/>
        <w:ind w:left="644"/>
        <w:spacing w:after="0" w:line="250"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Full Satisfaction; Waiver and Release</w:t>
      </w:r>
      <w:r>
        <w:rPr>
          <w:rFonts w:ascii="Times New Roman" w:cs="Times New Roman" w:eastAsia="Times New Roman" w:hAnsi="Times New Roman"/>
          <w:sz w:val="22"/>
          <w:szCs w:val="22"/>
          <w:color w:val="auto"/>
        </w:rPr>
        <w:t>. As a condition to receiving the payments and benefits hereunder, the Officer shall execute and not revoke a document in customary form, releasing and waiving any and all claims, causes of actions and the like against the Company, the Bank and its respective successors, shareholders, officers, trustees, agents and employees, regarding all matters relating to the Officer’s service as an employee of the Bank or any affiliates and the termination of such relationship, and such release and waiver document must be executed by the Officer and become irrevocable within sixty (60) days following the Officer’s termination date (or, if later, within sixty (60) days following the effective date of the Change of Control).</w:t>
      </w:r>
    </w:p>
    <w:p>
      <w:pPr>
        <w:spacing w:after="0" w:line="180" w:lineRule="exact"/>
        <w:rPr>
          <w:sz w:val="20"/>
          <w:szCs w:val="20"/>
          <w:color w:val="auto"/>
        </w:rPr>
      </w:pPr>
    </w:p>
    <w:p>
      <w:pPr>
        <w:ind w:left="644" w:hanging="644"/>
        <w:spacing w:after="0"/>
        <w:tabs>
          <w:tab w:leader="none" w:pos="64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Sections 5.11 and 5.12 shall be added to the Agreement and shall read in their entirety as follows:</w:t>
      </w:r>
    </w:p>
    <w:p>
      <w:pPr>
        <w:spacing w:after="0" w:line="233" w:lineRule="exact"/>
        <w:rPr>
          <w:rFonts w:ascii="Times New Roman" w:cs="Times New Roman" w:eastAsia="Times New Roman" w:hAnsi="Times New Roman"/>
          <w:sz w:val="22"/>
          <w:szCs w:val="22"/>
          <w:color w:val="auto"/>
        </w:rPr>
      </w:pPr>
    </w:p>
    <w:p>
      <w:pPr>
        <w:ind w:left="64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5.11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44" w:firstLine="652"/>
        <w:spacing w:after="0" w:line="248" w:lineRule="auto"/>
        <w:tabs>
          <w:tab w:leader="none" w:pos="1937"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It is the intention of both the Company and the Officer that the benefits and rights to which the Officer could be entitled pursuant to this Agreement comply with Section 409A of the Code and the Treasury Regulations and other guidance promulgated or issued thereunder (“Section 409A”) or an exemption therefrom, to the extent that the requirements of Section 409A are applicable thereto, and the provisions of this Agreement shall be construed in a manner consistent with that intention. If the Officer or the Company believes, at any time, that any such benefit or right that is subject to Section 409A does not so comply, it shall promptly advise the other and shall negotiate reasonably and in good faith to amend the terms of such benefits and rights such that they comply with Section 409A (with the most limited possible economic effect on the Officer and on the Company). In no event whatsoever shall the Company be liable for any additional tax, interest or penalty that may be imposed on the Officer by Section 409A or damages for any payments or benefits that fail to comply with Section 409A.</w:t>
      </w:r>
    </w:p>
    <w:p>
      <w:pPr>
        <w:spacing w:after="0" w:line="188" w:lineRule="exact"/>
        <w:rPr>
          <w:rFonts w:ascii="Times New Roman" w:cs="Times New Roman" w:eastAsia="Times New Roman" w:hAnsi="Times New Roman"/>
          <w:sz w:val="22"/>
          <w:szCs w:val="22"/>
          <w:color w:val="auto"/>
        </w:rPr>
      </w:pPr>
    </w:p>
    <w:p>
      <w:pPr>
        <w:jc w:val="both"/>
        <w:ind w:left="644" w:firstLine="652"/>
        <w:spacing w:after="0" w:line="252" w:lineRule="auto"/>
        <w:tabs>
          <w:tab w:leader="none" w:pos="1989"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Distributions on Account of Separation from Service</w:t>
      </w:r>
      <w:r>
        <w:rPr>
          <w:rFonts w:ascii="Times New Roman" w:cs="Times New Roman" w:eastAsia="Times New Roman" w:hAnsi="Times New Roman"/>
          <w:sz w:val="22"/>
          <w:szCs w:val="22"/>
          <w:color w:val="auto"/>
        </w:rPr>
        <w:t>. If and to the extent required to comply with Section 409A, no payment or benefit required to be paid under this Agreement on account of termination of the Officer’s employment shall be made unless and until the Officer incurs a “separation from service” within the meaning of Section 409A.</w:t>
      </w:r>
    </w:p>
    <w:p>
      <w:pPr>
        <w:spacing w:after="0" w:line="192" w:lineRule="exact"/>
        <w:rPr>
          <w:rFonts w:ascii="Times New Roman" w:cs="Times New Roman" w:eastAsia="Times New Roman" w:hAnsi="Times New Roman"/>
          <w:sz w:val="22"/>
          <w:szCs w:val="22"/>
          <w:color w:val="auto"/>
        </w:rPr>
      </w:pPr>
    </w:p>
    <w:p>
      <w:pPr>
        <w:ind w:left="1944" w:hanging="648"/>
        <w:spacing w:after="0"/>
        <w:tabs>
          <w:tab w:leader="none" w:pos="1944"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Six Month Delay for Specified Employees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2584" w:hanging="640"/>
        <w:spacing w:after="0" w:line="252" w:lineRule="auto"/>
        <w:tabs>
          <w:tab w:leader="none" w:pos="2572"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Officer is a “specified employee”, then no payment or benefit that is payable on account of the Officer’s “separation from service”, as that term is defined for purposes of Section 409A, shall be made before the later of (i) the date that is six months after the Officer’s “separation from service” (or, if earlier, the date of the Officer’s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584"/>
          </w:cols>
          <w:pgMar w:left="976" w:top="1422" w:right="339" w:bottom="1440" w:gutter="0" w:footer="0" w:header="0"/>
        </w:sectPr>
      </w:pPr>
    </w:p>
    <w:bookmarkStart w:id="57" w:name="page58"/>
    <w:bookmarkEnd w:id="57"/>
    <w:p>
      <w:pPr>
        <w:jc w:val="both"/>
        <w:ind w:left="2120"/>
        <w:spacing w:after="0" w:line="250" w:lineRule="auto"/>
        <w:rPr>
          <w:sz w:val="20"/>
          <w:szCs w:val="20"/>
          <w:color w:val="auto"/>
        </w:rPr>
      </w:pPr>
      <w:r>
        <w:rPr>
          <w:rFonts w:ascii="Times New Roman" w:cs="Times New Roman" w:eastAsia="Times New Roman" w:hAnsi="Times New Roman"/>
          <w:sz w:val="22"/>
          <w:szCs w:val="22"/>
          <w:color w:val="auto"/>
        </w:rPr>
        <w:t>or (ii) the date that is eighteen (18) months from the Amendment Date. The preceding sentence shall apply only if and to the extent that such payment or benefit constitutes deferred compensation (or may be nonqualified deferred compensation) under Section 409A and such deferral is required to comply with the requirements of Section 409A. Any payment or benefit delayed by reason of this paragraph shall be paid out or provided in a single lump sum at the end of such required delay period in order to catch up to the original payment schedule.</w:t>
      </w:r>
    </w:p>
    <w:p>
      <w:pPr>
        <w:spacing w:after="0" w:line="180" w:lineRule="exact"/>
        <w:rPr>
          <w:sz w:val="20"/>
          <w:szCs w:val="20"/>
          <w:color w:val="auto"/>
        </w:rPr>
      </w:pPr>
    </w:p>
    <w:p>
      <w:pPr>
        <w:ind w:left="2120" w:hanging="640"/>
        <w:spacing w:after="0" w:line="251" w:lineRule="auto"/>
        <w:tabs>
          <w:tab w:leader="none" w:pos="1955"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provision, the Officer shall be considered to be a “specified employee” if, at the time of his or her separation from service, the Officer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81" w:lineRule="exact"/>
        <w:rPr>
          <w:rFonts w:ascii="Times New Roman" w:cs="Times New Roman" w:eastAsia="Times New Roman" w:hAnsi="Times New Roman"/>
          <w:sz w:val="22"/>
          <w:szCs w:val="22"/>
          <w:color w:val="auto"/>
        </w:rPr>
      </w:pPr>
    </w:p>
    <w:p>
      <w:pPr>
        <w:jc w:val="both"/>
        <w:ind w:left="180" w:firstLine="652"/>
        <w:spacing w:after="0" w:line="256" w:lineRule="auto"/>
        <w:tabs>
          <w:tab w:leader="none" w:pos="147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Acceleration of Payments</w:t>
      </w:r>
      <w:r>
        <w:rPr>
          <w:rFonts w:ascii="Times New Roman" w:cs="Times New Roman" w:eastAsia="Times New Roman" w:hAnsi="Times New Roman"/>
          <w:sz w:val="22"/>
          <w:szCs w:val="22"/>
          <w:color w:val="auto"/>
        </w:rPr>
        <w:t>. Neither the Company nor the Officer,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76" w:lineRule="exact"/>
        <w:rPr>
          <w:rFonts w:ascii="Times New Roman" w:cs="Times New Roman" w:eastAsia="Times New Roman" w:hAnsi="Times New Roman"/>
          <w:sz w:val="22"/>
          <w:szCs w:val="22"/>
          <w:color w:val="auto"/>
        </w:rPr>
      </w:pPr>
    </w:p>
    <w:p>
      <w:pPr>
        <w:jc w:val="both"/>
        <w:ind w:left="180" w:firstLine="652"/>
        <w:spacing w:after="0" w:line="250" w:lineRule="auto"/>
        <w:tabs>
          <w:tab w:leader="none" w:pos="1473"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Each Installment as a Separate Payment and Timing of Payments</w:t>
      </w:r>
      <w:r>
        <w:rPr>
          <w:rFonts w:ascii="Times New Roman" w:cs="Times New Roman" w:eastAsia="Times New Roman" w:hAnsi="Times New Roman"/>
          <w:sz w:val="22"/>
          <w:szCs w:val="22"/>
          <w:color w:val="auto"/>
        </w:rPr>
        <w:t>. For purposes of applying the provisions of Section 409A to this Agreement, each separately identified amount to which the Officer is entitled under this Agreement shall be treated as a separate payment. In addition, to the extent permissible under Section 409A, any series of installment payments under this Agreement shall be treated as a right to a series of separate payments. Whenever a payment under this Agreement specifies a payment period with reference to a number of days, the actual date of payment within the specified period shall be within the sole discretion of the Company.</w:t>
      </w:r>
    </w:p>
    <w:p>
      <w:pPr>
        <w:spacing w:after="0" w:line="194" w:lineRule="exact"/>
        <w:rPr>
          <w:sz w:val="20"/>
          <w:szCs w:val="20"/>
          <w:color w:val="auto"/>
        </w:rPr>
      </w:pPr>
    </w:p>
    <w:p>
      <w:pPr>
        <w:jc w:val="both"/>
        <w:ind w:left="180"/>
        <w:spacing w:after="0" w:line="265" w:lineRule="auto"/>
        <w:rPr>
          <w:sz w:val="20"/>
          <w:szCs w:val="20"/>
          <w:color w:val="auto"/>
        </w:rPr>
      </w:pPr>
      <w:r>
        <w:rPr>
          <w:rFonts w:ascii="Times New Roman" w:cs="Times New Roman" w:eastAsia="Times New Roman" w:hAnsi="Times New Roman"/>
          <w:sz w:val="21"/>
          <w:szCs w:val="21"/>
          <w:color w:val="auto"/>
        </w:rPr>
        <w:t xml:space="preserve">5.13 </w:t>
      </w:r>
      <w:r>
        <w:rPr>
          <w:rFonts w:ascii="Times New Roman" w:cs="Times New Roman" w:eastAsia="Times New Roman" w:hAnsi="Times New Roman"/>
          <w:sz w:val="21"/>
          <w:szCs w:val="21"/>
          <w:u w:val="single" w:color="auto"/>
          <w:color w:val="auto"/>
        </w:rPr>
        <w:t>Restrictions Upon Funding</w:t>
      </w:r>
      <w:r>
        <w:rPr>
          <w:rFonts w:ascii="Times New Roman" w:cs="Times New Roman" w:eastAsia="Times New Roman" w:hAnsi="Times New Roman"/>
          <w:sz w:val="21"/>
          <w:szCs w:val="21"/>
          <w:color w:val="auto"/>
        </w:rPr>
        <w:t>. The Company shall have no obligation to set aside, earmark or entrust any fund or money with which to pay its obligations under this Agreement. Officer or any successor-in-interest to Officer shall be and remain simply a general creditor of the Company in the same manner as any other creditor having a general unsecured claim. The Company intends this Agreement to be an unfunded, unsecured promise to pay on the part of the Company. At no time shall Officer have or be deemed to have any lien nor right, title or interest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120"/>
          </w:cols>
          <w:pgMar w:left="1440" w:top="1422" w:right="339" w:bottom="1440" w:gutter="0" w:footer="0" w:header="0"/>
        </w:sectPr>
      </w:pPr>
    </w:p>
    <w:bookmarkStart w:id="58" w:name="page59"/>
    <w:bookmarkEnd w:id="58"/>
    <w:p>
      <w:pPr>
        <w:jc w:val="both"/>
        <w:ind w:left="1300"/>
        <w:spacing w:after="0" w:line="275" w:lineRule="auto"/>
        <w:rPr>
          <w:sz w:val="20"/>
          <w:szCs w:val="20"/>
          <w:color w:val="auto"/>
        </w:rPr>
      </w:pPr>
      <w:r>
        <w:rPr>
          <w:rFonts w:ascii="Times New Roman" w:cs="Times New Roman" w:eastAsia="Times New Roman" w:hAnsi="Times New Roman"/>
          <w:sz w:val="21"/>
          <w:szCs w:val="21"/>
          <w:color w:val="auto"/>
        </w:rPr>
        <w:t>or to any specific investment or to any assets of the Company. If the Company elects to invest in a life insurance, disability or annuity policy upon the life of Officer, Officer shall assist the Company by freely submitting to a physical examination and supplying such additional information necessary to obtain such insurance or annuities.</w:t>
      </w:r>
    </w:p>
    <w:p>
      <w:pPr>
        <w:spacing w:after="0" w:line="169" w:lineRule="exact"/>
        <w:rPr>
          <w:sz w:val="20"/>
          <w:szCs w:val="20"/>
          <w:color w:val="auto"/>
        </w:rPr>
      </w:pPr>
    </w:p>
    <w:p>
      <w:pPr>
        <w:ind w:right="20" w:firstLine="656"/>
        <w:spacing w:after="0" w:line="271" w:lineRule="auto"/>
        <w:tabs>
          <w:tab w:leader="none" w:pos="129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one or more counterparts, each of which shall be deemed to be an original but all of which together shall constitute one and the same instrument.</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terms and provisions of the Agreement not amended hereby, either expressly or by necessary implication, shall remain in full force and effect. From and after the Amendment Date, all references to the term “Agreement” in this Amendment or the Agreement shall include the terms contained in this Amendment.</w:t>
      </w:r>
    </w:p>
    <w:p>
      <w:pPr>
        <w:spacing w:after="0" w:line="182"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Officer and the Company each have executed this Amendment to be effective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 Date.</w:t>
      </w:r>
    </w:p>
    <w:p>
      <w:pPr>
        <w:spacing w:after="0" w:line="1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OFFICER</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u w:val="single" w:color="auto"/>
          <w:color w:val="auto"/>
        </w:rPr>
        <w:t>/s/ Bryon C. Salazar</w:t>
      </w:r>
    </w:p>
    <w:p>
      <w:pPr>
        <w:ind w:left="3900"/>
        <w:spacing w:after="0"/>
        <w:rPr>
          <w:sz w:val="20"/>
          <w:szCs w:val="20"/>
          <w:color w:val="auto"/>
        </w:rPr>
      </w:pPr>
      <w:r>
        <w:rPr>
          <w:rFonts w:ascii="Times New Roman" w:cs="Times New Roman" w:eastAsia="Times New Roman" w:hAnsi="Times New Roman"/>
          <w:sz w:val="22"/>
          <w:szCs w:val="22"/>
          <w:color w:val="auto"/>
        </w:rPr>
        <w:t>BRYON C. SALAZAR</w:t>
      </w:r>
    </w:p>
    <w:p>
      <w:pPr>
        <w:spacing w:after="0" w:line="36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THE COMPANY:</w:t>
      </w:r>
    </w:p>
    <w:p>
      <w:pPr>
        <w:spacing w:after="0" w:line="17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RED RIVER BANCSHARES, INC.</w:t>
      </w:r>
    </w:p>
    <w:p>
      <w:pPr>
        <w:spacing w:after="0" w:line="39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R. Blake Chatelain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2382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1238250" cy="8890"/>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2"/>
          <w:szCs w:val="22"/>
          <w:color w:val="auto"/>
        </w:rPr>
        <w:t>Name: R. Blake Chatelain</w:t>
      </w:r>
    </w:p>
    <w:p>
      <w:pPr>
        <w:spacing w:after="0" w:line="4"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22"/>
          <w:szCs w:val="22"/>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 R. Blake Chatelain, certify that:</w:t>
      </w:r>
    </w:p>
    <w:p>
      <w:pPr>
        <w:spacing w:after="0" w:line="194" w:lineRule="exact"/>
        <w:rPr>
          <w:sz w:val="20"/>
          <w:szCs w:val="20"/>
          <w:color w:val="auto"/>
        </w:rPr>
      </w:pPr>
    </w:p>
    <w:p>
      <w:pPr>
        <w:ind w:left="640" w:hanging="409"/>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Red River Bancshares, Inc. (the “registrant”);</w:t>
      </w:r>
    </w:p>
    <w:p>
      <w:pPr>
        <w:spacing w:after="0" w:line="194" w:lineRule="exact"/>
        <w:rPr>
          <w:rFonts w:ascii="Arial" w:cs="Arial" w:eastAsia="Arial" w:hAnsi="Arial"/>
          <w:sz w:val="16"/>
          <w:szCs w:val="16"/>
          <w:color w:val="auto"/>
        </w:rPr>
      </w:pPr>
    </w:p>
    <w:p>
      <w:pPr>
        <w:ind w:left="240" w:right="780" w:hanging="9"/>
        <w:spacing w:after="0" w:line="275" w:lineRule="auto"/>
        <w:tabs>
          <w:tab w:leader="none" w:pos="645"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40" w:right="1180" w:hanging="9"/>
        <w:spacing w:after="0" w:line="304" w:lineRule="auto"/>
        <w:tabs>
          <w:tab w:leader="none" w:pos="645"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0" w:lineRule="exact"/>
        <w:rPr>
          <w:rFonts w:ascii="Arial" w:cs="Arial" w:eastAsia="Arial" w:hAnsi="Arial"/>
          <w:sz w:val="16"/>
          <w:szCs w:val="16"/>
          <w:color w:val="auto"/>
        </w:rPr>
      </w:pPr>
    </w:p>
    <w:p>
      <w:pPr>
        <w:jc w:val="both"/>
        <w:ind w:left="240" w:right="80" w:hanging="9"/>
        <w:spacing w:after="0" w:line="275" w:lineRule="auto"/>
        <w:tabs>
          <w:tab w:leader="none" w:pos="645"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sz w:val="20"/>
          <w:szCs w:val="20"/>
          <w:color w:val="auto"/>
        </w:rPr>
      </w:pPr>
    </w:p>
    <w:p>
      <w:pPr>
        <w:ind w:left="600" w:right="280" w:hanging="369"/>
        <w:spacing w:after="0" w:line="275" w:lineRule="auto"/>
        <w:tabs>
          <w:tab w:leader="none" w:pos="595"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report is being prepared;</w:t>
      </w:r>
    </w:p>
    <w:p>
      <w:pPr>
        <w:spacing w:after="0" w:line="123" w:lineRule="exact"/>
        <w:rPr>
          <w:rFonts w:ascii="Arial" w:cs="Arial" w:eastAsia="Arial" w:hAnsi="Arial"/>
          <w:sz w:val="16"/>
          <w:szCs w:val="16"/>
          <w:color w:val="auto"/>
        </w:rPr>
      </w:pPr>
    </w:p>
    <w:p>
      <w:pPr>
        <w:ind w:left="600" w:right="180" w:hanging="369"/>
        <w:spacing w:after="0" w:line="275" w:lineRule="auto"/>
        <w:tabs>
          <w:tab w:leader="none" w:pos="595"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6"/>
          <w:szCs w:val="16"/>
          <w:color w:val="auto"/>
        </w:rPr>
      </w:pPr>
    </w:p>
    <w:p>
      <w:pPr>
        <w:jc w:val="both"/>
        <w:ind w:left="600" w:right="820" w:hanging="369"/>
        <w:spacing w:after="0" w:line="286" w:lineRule="auto"/>
        <w:tabs>
          <w:tab w:leader="none" w:pos="6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6"/>
          <w:szCs w:val="16"/>
          <w:color w:val="auto"/>
        </w:rPr>
      </w:pPr>
    </w:p>
    <w:p>
      <w:pPr>
        <w:ind w:left="600" w:right="240" w:hanging="369"/>
        <w:spacing w:after="0" w:line="275" w:lineRule="auto"/>
        <w:tabs>
          <w:tab w:leader="none" w:pos="595" w:val="left"/>
        </w:tabs>
        <w:numPr>
          <w:ilvl w:val="0"/>
          <w:numId w:val="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7" w:lineRule="exact"/>
        <w:rPr>
          <w:sz w:val="20"/>
          <w:szCs w:val="20"/>
          <w:color w:val="auto"/>
        </w:rPr>
      </w:pPr>
    </w:p>
    <w:p>
      <w:pPr>
        <w:ind w:left="240" w:right="420" w:hanging="9"/>
        <w:spacing w:after="0" w:line="286" w:lineRule="auto"/>
        <w:tabs>
          <w:tab w:leader="none" w:pos="645"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sz w:val="20"/>
          <w:szCs w:val="20"/>
          <w:color w:val="auto"/>
        </w:rPr>
      </w:pPr>
    </w:p>
    <w:p>
      <w:pPr>
        <w:ind w:left="600" w:right="460" w:hanging="369"/>
        <w:spacing w:after="0" w:line="286" w:lineRule="auto"/>
        <w:tabs>
          <w:tab w:leader="none" w:pos="595"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left="600" w:right="400" w:hanging="369"/>
        <w:spacing w:after="0" w:line="286" w:lineRule="auto"/>
        <w:tabs>
          <w:tab w:leader="none" w:pos="595"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8" w:lineRule="exact"/>
        <w:rPr>
          <w:sz w:val="20"/>
          <w:szCs w:val="20"/>
          <w:color w:val="auto"/>
        </w:rPr>
      </w:pPr>
    </w:p>
    <w:p>
      <w:pPr>
        <w:spacing w:after="0"/>
        <w:tabs>
          <w:tab w:leader="none" w:pos="4680" w:val="left"/>
          <w:tab w:leader="none" w:pos="5160" w:val="left"/>
        </w:tabs>
        <w:rPr>
          <w:sz w:val="20"/>
          <w:szCs w:val="20"/>
          <w:color w:val="auto"/>
        </w:rPr>
      </w:pPr>
      <w:r>
        <w:rPr>
          <w:rFonts w:ascii="Arial" w:cs="Arial" w:eastAsia="Arial" w:hAnsi="Arial"/>
          <w:sz w:val="16"/>
          <w:szCs w:val="16"/>
          <w:color w:val="auto"/>
        </w:rPr>
        <w:t>Date: May 8, 2026</w:t>
      </w:r>
      <w:r>
        <w:rPr>
          <w:sz w:val="20"/>
          <w:szCs w:val="20"/>
          <w:color w:val="auto"/>
        </w:rPr>
        <w:tab/>
      </w:r>
      <w:r>
        <w:rPr>
          <w:rFonts w:ascii="Arial" w:cs="Arial" w:eastAsia="Arial" w:hAnsi="Arial"/>
          <w:sz w:val="16"/>
          <w:szCs w:val="16"/>
          <w:color w:val="auto"/>
        </w:rPr>
        <w:t>By:</w:t>
        <w:tab/>
        <w:t>/s/ R. Blake Chatelain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20955</wp:posOffset>
            </wp:positionV>
            <wp:extent cx="35833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3583305" cy="8890"/>
                    </a:xfrm>
                    <a:prstGeom prst="rect">
                      <a:avLst/>
                    </a:prstGeom>
                    <a:noFill/>
                  </pic:spPr>
                </pic:pic>
              </a:graphicData>
            </a:graphic>
          </wp:anchor>
        </w:drawing>
      </w:r>
    </w:p>
    <w:p>
      <w:pPr>
        <w:spacing w:after="0" w:line="26"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R. Blake Chatelain</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President and Chief Executive Officer</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180"/>
          </w:cols>
          <w:pgMar w:left="340" w:top="166" w:right="379" w:bottom="1440" w:gutter="0" w:footer="0" w:header="0"/>
        </w:sectPr>
      </w:pPr>
    </w:p>
    <w:bookmarkStart w:id="60" w:name="page61"/>
    <w:bookmarkEnd w:id="60"/>
    <w:p>
      <w:pPr>
        <w:jc w:val="right"/>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 Isabel V. Carriere, certify that:</w:t>
      </w:r>
    </w:p>
    <w:p>
      <w:pPr>
        <w:spacing w:after="0" w:line="194" w:lineRule="exact"/>
        <w:rPr>
          <w:sz w:val="20"/>
          <w:szCs w:val="20"/>
          <w:color w:val="auto"/>
        </w:rPr>
      </w:pPr>
    </w:p>
    <w:p>
      <w:pPr>
        <w:ind w:left="640" w:hanging="409"/>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Red River Bancshares, Inc. (the “registrant”);</w:t>
      </w:r>
    </w:p>
    <w:p>
      <w:pPr>
        <w:spacing w:after="0" w:line="194" w:lineRule="exact"/>
        <w:rPr>
          <w:rFonts w:ascii="Arial" w:cs="Arial" w:eastAsia="Arial" w:hAnsi="Arial"/>
          <w:sz w:val="16"/>
          <w:szCs w:val="16"/>
          <w:color w:val="auto"/>
        </w:rPr>
      </w:pPr>
    </w:p>
    <w:p>
      <w:pPr>
        <w:ind w:left="240" w:right="780" w:hanging="9"/>
        <w:spacing w:after="0" w:line="275" w:lineRule="auto"/>
        <w:tabs>
          <w:tab w:leader="none" w:pos="645"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40" w:right="1180" w:hanging="9"/>
        <w:spacing w:after="0" w:line="304" w:lineRule="auto"/>
        <w:tabs>
          <w:tab w:leader="none" w:pos="645"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0" w:lineRule="exact"/>
        <w:rPr>
          <w:rFonts w:ascii="Arial" w:cs="Arial" w:eastAsia="Arial" w:hAnsi="Arial"/>
          <w:sz w:val="16"/>
          <w:szCs w:val="16"/>
          <w:color w:val="auto"/>
        </w:rPr>
      </w:pPr>
    </w:p>
    <w:p>
      <w:pPr>
        <w:jc w:val="both"/>
        <w:ind w:left="240" w:right="80" w:hanging="9"/>
        <w:spacing w:after="0" w:line="275" w:lineRule="auto"/>
        <w:tabs>
          <w:tab w:leader="none" w:pos="645"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sz w:val="20"/>
          <w:szCs w:val="20"/>
          <w:color w:val="auto"/>
        </w:rPr>
      </w:pPr>
    </w:p>
    <w:p>
      <w:pPr>
        <w:ind w:left="600" w:right="280" w:hanging="369"/>
        <w:spacing w:after="0" w:line="275" w:lineRule="auto"/>
        <w:tabs>
          <w:tab w:leader="none" w:pos="595" w:val="left"/>
        </w:tabs>
        <w:numPr>
          <w:ilvl w:val="0"/>
          <w:numId w:val="4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report is being prepared;</w:t>
      </w:r>
    </w:p>
    <w:p>
      <w:pPr>
        <w:spacing w:after="0" w:line="123" w:lineRule="exact"/>
        <w:rPr>
          <w:rFonts w:ascii="Arial" w:cs="Arial" w:eastAsia="Arial" w:hAnsi="Arial"/>
          <w:sz w:val="16"/>
          <w:szCs w:val="16"/>
          <w:color w:val="auto"/>
        </w:rPr>
      </w:pPr>
    </w:p>
    <w:p>
      <w:pPr>
        <w:ind w:left="600" w:right="180" w:hanging="369"/>
        <w:spacing w:after="0" w:line="275" w:lineRule="auto"/>
        <w:tabs>
          <w:tab w:leader="none" w:pos="595" w:val="left"/>
        </w:tabs>
        <w:numPr>
          <w:ilvl w:val="0"/>
          <w:numId w:val="4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6"/>
          <w:szCs w:val="16"/>
          <w:color w:val="auto"/>
        </w:rPr>
      </w:pPr>
    </w:p>
    <w:p>
      <w:pPr>
        <w:jc w:val="both"/>
        <w:ind w:left="600" w:right="820" w:hanging="369"/>
        <w:spacing w:after="0" w:line="286" w:lineRule="auto"/>
        <w:tabs>
          <w:tab w:leader="none" w:pos="6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6"/>
          <w:szCs w:val="16"/>
          <w:color w:val="auto"/>
        </w:rPr>
      </w:pPr>
    </w:p>
    <w:p>
      <w:pPr>
        <w:ind w:left="600" w:right="240" w:hanging="369"/>
        <w:spacing w:after="0" w:line="275" w:lineRule="auto"/>
        <w:tabs>
          <w:tab w:leader="none" w:pos="595" w:val="left"/>
        </w:tabs>
        <w:numPr>
          <w:ilvl w:val="0"/>
          <w:numId w:val="4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7" w:lineRule="exact"/>
        <w:rPr>
          <w:sz w:val="20"/>
          <w:szCs w:val="20"/>
          <w:color w:val="auto"/>
        </w:rPr>
      </w:pPr>
    </w:p>
    <w:p>
      <w:pPr>
        <w:ind w:left="240" w:right="420" w:hanging="9"/>
        <w:spacing w:after="0" w:line="286" w:lineRule="auto"/>
        <w:tabs>
          <w:tab w:leader="none" w:pos="64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sz w:val="20"/>
          <w:szCs w:val="20"/>
          <w:color w:val="auto"/>
        </w:rPr>
      </w:pPr>
    </w:p>
    <w:p>
      <w:pPr>
        <w:ind w:left="600" w:right="460" w:hanging="369"/>
        <w:spacing w:after="0" w:line="286" w:lineRule="auto"/>
        <w:tabs>
          <w:tab w:leader="none" w:pos="595" w:val="left"/>
        </w:tabs>
        <w:numPr>
          <w:ilvl w:val="0"/>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left="600" w:right="400" w:hanging="369"/>
        <w:spacing w:after="0" w:line="286" w:lineRule="auto"/>
        <w:tabs>
          <w:tab w:leader="none" w:pos="595"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8" w:lineRule="exact"/>
        <w:rPr>
          <w:sz w:val="20"/>
          <w:szCs w:val="20"/>
          <w:color w:val="auto"/>
        </w:rPr>
      </w:pPr>
    </w:p>
    <w:p>
      <w:pPr>
        <w:spacing w:after="0"/>
        <w:tabs>
          <w:tab w:leader="none" w:pos="4700" w:val="left"/>
          <w:tab w:leader="none" w:pos="5180" w:val="left"/>
        </w:tabs>
        <w:rPr>
          <w:sz w:val="20"/>
          <w:szCs w:val="20"/>
          <w:color w:val="auto"/>
        </w:rPr>
      </w:pPr>
      <w:r>
        <w:rPr>
          <w:rFonts w:ascii="Arial" w:cs="Arial" w:eastAsia="Arial" w:hAnsi="Arial"/>
          <w:sz w:val="16"/>
          <w:szCs w:val="16"/>
          <w:color w:val="auto"/>
        </w:rPr>
        <w:t>Date: May 8, 2026</w:t>
      </w:r>
      <w:r>
        <w:rPr>
          <w:sz w:val="20"/>
          <w:szCs w:val="20"/>
          <w:color w:val="auto"/>
        </w:rPr>
        <w:tab/>
      </w:r>
      <w:r>
        <w:rPr>
          <w:rFonts w:ascii="Arial" w:cs="Arial" w:eastAsia="Arial" w:hAnsi="Arial"/>
          <w:sz w:val="16"/>
          <w:szCs w:val="16"/>
          <w:color w:val="auto"/>
        </w:rPr>
        <w:t>By:</w:t>
        <w:tab/>
        <w:t>/s/ Isabel V. Carriere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3284220</wp:posOffset>
            </wp:positionH>
            <wp:positionV relativeFrom="paragraph">
              <wp:posOffset>20955</wp:posOffset>
            </wp:positionV>
            <wp:extent cx="35744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2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Isabel V. Carriere, CPA, CGMA</w:t>
      </w:r>
    </w:p>
    <w:p>
      <w:pPr>
        <w:spacing w:after="0" w:line="2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Senior Executive Vice President, Chief Financial Officer, and Assistant</w:t>
      </w:r>
    </w:p>
    <w:p>
      <w:pPr>
        <w:ind w:left="5200"/>
        <w:spacing w:after="0"/>
        <w:rPr>
          <w:sz w:val="20"/>
          <w:szCs w:val="20"/>
          <w:color w:val="auto"/>
        </w:rPr>
      </w:pPr>
      <w:r>
        <w:rPr>
          <w:rFonts w:ascii="Arial" w:cs="Arial" w:eastAsia="Arial" w:hAnsi="Arial"/>
          <w:sz w:val="16"/>
          <w:szCs w:val="16"/>
          <w:color w:val="auto"/>
        </w:rPr>
        <w:t>Corporate Secretary</w:t>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(Principal Financial Officer and Principal Accounting Officer)</w:t>
      </w:r>
    </w:p>
    <w:p>
      <w:pPr>
        <w:sectPr>
          <w:pgSz w:w="11900" w:h="16838" w:orient="portrait"/>
          <w:cols w:equalWidth="0" w:num="1">
            <w:col w:w="11180"/>
          </w:cols>
          <w:pgMar w:left="340" w:top="166" w:right="379" w:bottom="1440" w:gutter="0" w:footer="0" w:header="0"/>
        </w:sectPr>
      </w:pPr>
    </w:p>
    <w:bookmarkStart w:id="61" w:name="page62"/>
    <w:bookmarkEnd w:id="61"/>
    <w:p>
      <w:pPr>
        <w:ind w:left="10049"/>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31"/>
        <w:spacing w:after="0"/>
        <w:rPr>
          <w:sz w:val="20"/>
          <w:szCs w:val="20"/>
          <w:color w:val="auto"/>
        </w:rPr>
      </w:pPr>
      <w:r>
        <w:rPr>
          <w:rFonts w:ascii="Arial" w:cs="Arial" w:eastAsia="Arial" w:hAnsi="Arial"/>
          <w:sz w:val="16"/>
          <w:szCs w:val="16"/>
          <w:b w:val="1"/>
          <w:bCs w:val="1"/>
          <w:color w:val="auto"/>
        </w:rPr>
        <w:t>CERTIFICATION OF CHIEF EXECUTIVE OFFICER PURSUANT TO 18 U.S.C. SECTION 1350, AS</w:t>
      </w:r>
    </w:p>
    <w:p>
      <w:pPr>
        <w:spacing w:after="0" w:line="21" w:lineRule="exact"/>
        <w:rPr>
          <w:sz w:val="20"/>
          <w:szCs w:val="20"/>
          <w:color w:val="auto"/>
        </w:rPr>
      </w:pPr>
    </w:p>
    <w:p>
      <w:pPr>
        <w:jc w:val="center"/>
        <w:ind w:right="231"/>
        <w:spacing w:after="0"/>
        <w:rPr>
          <w:sz w:val="20"/>
          <w:szCs w:val="20"/>
          <w:color w:val="auto"/>
        </w:rPr>
      </w:pPr>
      <w:r>
        <w:rPr>
          <w:rFonts w:ascii="Arial" w:cs="Arial" w:eastAsia="Arial" w:hAnsi="Arial"/>
          <w:sz w:val="16"/>
          <w:szCs w:val="16"/>
          <w:b w:val="1"/>
          <w:bCs w:val="1"/>
          <w:color w:val="auto"/>
        </w:rPr>
        <w:t>ADOPTED PURSUANT TO SECTION 906 OF THE SARBANES-OXLEY ACT OF 2002</w:t>
      </w:r>
    </w:p>
    <w:p>
      <w:pPr>
        <w:spacing w:after="0" w:line="354" w:lineRule="exact"/>
        <w:rPr>
          <w:sz w:val="20"/>
          <w:szCs w:val="20"/>
          <w:color w:val="auto"/>
        </w:rPr>
      </w:pPr>
    </w:p>
    <w:p>
      <w:pPr>
        <w:jc w:val="both"/>
        <w:ind w:left="9"/>
        <w:spacing w:after="0" w:line="275" w:lineRule="auto"/>
        <w:rPr>
          <w:sz w:val="20"/>
          <w:szCs w:val="20"/>
          <w:color w:val="auto"/>
        </w:rPr>
      </w:pPr>
      <w:r>
        <w:rPr>
          <w:rFonts w:ascii="Arial" w:cs="Arial" w:eastAsia="Arial" w:hAnsi="Arial"/>
          <w:sz w:val="16"/>
          <w:szCs w:val="16"/>
          <w:color w:val="auto"/>
        </w:rPr>
        <w:t>In connection with the Quarterly Report of Red River Bancshares, Inc. (the “Company”) on Form 10-Q for the period ended March 31, 2026, as filed with the Securities and Exchange Commission on the date hereof (the “Report”), I, R. Blake Chatelain, President and Chief Executive Officer of the Company, certify, pursuant to 18 U.S.C. Section 1350, as adopted pursuant to Section 906 of the Sarbanes-Oxley Act of 2002, that:</w:t>
      </w:r>
    </w:p>
    <w:p>
      <w:pPr>
        <w:spacing w:after="0" w:line="137" w:lineRule="exact"/>
        <w:rPr>
          <w:sz w:val="20"/>
          <w:szCs w:val="20"/>
          <w:color w:val="auto"/>
        </w:rPr>
      </w:pPr>
    </w:p>
    <w:p>
      <w:pPr>
        <w:ind w:left="409" w:hanging="409"/>
        <w:spacing w:after="0"/>
        <w:tabs>
          <w:tab w:leader="none" w:pos="409"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4" w:lineRule="exact"/>
        <w:rPr>
          <w:rFonts w:ascii="Arial" w:cs="Arial" w:eastAsia="Arial" w:hAnsi="Arial"/>
          <w:sz w:val="16"/>
          <w:szCs w:val="16"/>
          <w:color w:val="auto"/>
        </w:rPr>
      </w:pPr>
    </w:p>
    <w:p>
      <w:pPr>
        <w:ind w:left="409" w:hanging="409"/>
        <w:spacing w:after="0"/>
        <w:tabs>
          <w:tab w:leader="none" w:pos="409"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ind w:left="109"/>
        <w:spacing w:after="0"/>
        <w:tabs>
          <w:tab w:leader="none" w:pos="4649" w:val="left"/>
          <w:tab w:leader="none" w:pos="5109" w:val="left"/>
        </w:tabs>
        <w:rPr>
          <w:sz w:val="20"/>
          <w:szCs w:val="20"/>
          <w:color w:val="auto"/>
        </w:rPr>
      </w:pPr>
      <w:r>
        <w:rPr>
          <w:rFonts w:ascii="Arial" w:cs="Arial" w:eastAsia="Arial" w:hAnsi="Arial"/>
          <w:sz w:val="16"/>
          <w:szCs w:val="16"/>
          <w:color w:val="auto"/>
        </w:rPr>
        <w:t>Date: May 8, 2026</w:t>
      </w:r>
      <w:r>
        <w:rPr>
          <w:sz w:val="20"/>
          <w:szCs w:val="20"/>
          <w:color w:val="auto"/>
        </w:rPr>
        <w:tab/>
      </w:r>
      <w:r>
        <w:rPr>
          <w:rFonts w:ascii="Arial" w:cs="Arial" w:eastAsia="Arial" w:hAnsi="Arial"/>
          <w:sz w:val="16"/>
          <w:szCs w:val="16"/>
          <w:color w:val="auto"/>
        </w:rPr>
        <w:t>By:</w:t>
        <w:tab/>
        <w:t>/s/ R. Blake Chatelain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3248660</wp:posOffset>
            </wp:positionH>
            <wp:positionV relativeFrom="paragraph">
              <wp:posOffset>20955</wp:posOffset>
            </wp:positionV>
            <wp:extent cx="34715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6" w:lineRule="exact"/>
        <w:rPr>
          <w:sz w:val="20"/>
          <w:szCs w:val="20"/>
          <w:color w:val="auto"/>
        </w:rPr>
      </w:pPr>
    </w:p>
    <w:p>
      <w:pPr>
        <w:ind w:left="5129"/>
        <w:spacing w:after="0"/>
        <w:rPr>
          <w:sz w:val="20"/>
          <w:szCs w:val="20"/>
          <w:color w:val="auto"/>
        </w:rPr>
      </w:pPr>
      <w:r>
        <w:rPr>
          <w:rFonts w:ascii="Arial" w:cs="Arial" w:eastAsia="Arial" w:hAnsi="Arial"/>
          <w:sz w:val="16"/>
          <w:szCs w:val="16"/>
          <w:color w:val="auto"/>
        </w:rPr>
        <w:t>R. Blake Chatelain</w:t>
      </w:r>
    </w:p>
    <w:p>
      <w:pPr>
        <w:spacing w:after="0" w:line="32" w:lineRule="exact"/>
        <w:rPr>
          <w:sz w:val="20"/>
          <w:szCs w:val="20"/>
          <w:color w:val="auto"/>
        </w:rPr>
      </w:pPr>
    </w:p>
    <w:p>
      <w:pPr>
        <w:ind w:left="5129"/>
        <w:spacing w:after="0"/>
        <w:rPr>
          <w:sz w:val="20"/>
          <w:szCs w:val="20"/>
          <w:color w:val="auto"/>
        </w:rPr>
      </w:pPr>
      <w:r>
        <w:rPr>
          <w:rFonts w:ascii="Arial" w:cs="Arial" w:eastAsia="Arial" w:hAnsi="Arial"/>
          <w:sz w:val="16"/>
          <w:szCs w:val="16"/>
          <w:color w:val="auto"/>
        </w:rPr>
        <w:t>President and Chief Executive Officer</w:t>
      </w:r>
    </w:p>
    <w:p>
      <w:pPr>
        <w:spacing w:after="0" w:line="32" w:lineRule="exact"/>
        <w:rPr>
          <w:sz w:val="20"/>
          <w:szCs w:val="20"/>
          <w:color w:val="auto"/>
        </w:rPr>
      </w:pPr>
    </w:p>
    <w:p>
      <w:pPr>
        <w:ind w:left="5129"/>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0989"/>
          </w:cols>
          <w:pgMar w:left="571" w:top="166" w:right="339" w:bottom="1440" w:gutter="0" w:footer="0" w:header="0"/>
        </w:sectPr>
      </w:pPr>
    </w:p>
    <w:bookmarkStart w:id="62" w:name="page63"/>
    <w:bookmarkEnd w:id="62"/>
    <w:p>
      <w:pPr>
        <w:ind w:left="10049"/>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31"/>
        <w:spacing w:after="0"/>
        <w:rPr>
          <w:sz w:val="20"/>
          <w:szCs w:val="20"/>
          <w:color w:val="auto"/>
        </w:rPr>
      </w:pPr>
      <w:r>
        <w:rPr>
          <w:rFonts w:ascii="Arial" w:cs="Arial" w:eastAsia="Arial" w:hAnsi="Arial"/>
          <w:sz w:val="16"/>
          <w:szCs w:val="16"/>
          <w:b w:val="1"/>
          <w:bCs w:val="1"/>
          <w:color w:val="auto"/>
        </w:rPr>
        <w:t>CERTIFICATION OF CHIEF FINANCIAL OFFICER PURSUANT TO 18 U.S.C. SECTION 1350, AS</w:t>
      </w:r>
    </w:p>
    <w:p>
      <w:pPr>
        <w:spacing w:after="0" w:line="21" w:lineRule="exact"/>
        <w:rPr>
          <w:sz w:val="20"/>
          <w:szCs w:val="20"/>
          <w:color w:val="auto"/>
        </w:rPr>
      </w:pPr>
    </w:p>
    <w:p>
      <w:pPr>
        <w:jc w:val="center"/>
        <w:ind w:right="231"/>
        <w:spacing w:after="0"/>
        <w:rPr>
          <w:sz w:val="20"/>
          <w:szCs w:val="20"/>
          <w:color w:val="auto"/>
        </w:rPr>
      </w:pPr>
      <w:r>
        <w:rPr>
          <w:rFonts w:ascii="Arial" w:cs="Arial" w:eastAsia="Arial" w:hAnsi="Arial"/>
          <w:sz w:val="16"/>
          <w:szCs w:val="16"/>
          <w:b w:val="1"/>
          <w:bCs w:val="1"/>
          <w:color w:val="auto"/>
        </w:rPr>
        <w:t>ADOPTED PURSUANT TO SECTION 906 OF THE SARBANES-OXLEY ACT OF 2002</w:t>
      </w:r>
    </w:p>
    <w:p>
      <w:pPr>
        <w:spacing w:after="0" w:line="354" w:lineRule="exact"/>
        <w:rPr>
          <w:sz w:val="20"/>
          <w:szCs w:val="20"/>
          <w:color w:val="auto"/>
        </w:rPr>
      </w:pPr>
    </w:p>
    <w:p>
      <w:pPr>
        <w:jc w:val="both"/>
        <w:ind w:left="9"/>
        <w:spacing w:after="0" w:line="271" w:lineRule="auto"/>
        <w:rPr>
          <w:sz w:val="20"/>
          <w:szCs w:val="20"/>
          <w:color w:val="auto"/>
        </w:rPr>
      </w:pPr>
      <w:r>
        <w:rPr>
          <w:rFonts w:ascii="Arial" w:cs="Arial" w:eastAsia="Arial" w:hAnsi="Arial"/>
          <w:sz w:val="16"/>
          <w:szCs w:val="16"/>
          <w:color w:val="auto"/>
        </w:rPr>
        <w:t>In connection with the Quarterly Report of Red River Bancshares, Inc. (the “Company”) on Form 10-Q for the period ended March 31, 2026, as filed with the Securities and Exchange Commission on the date hereof (the “Report”), I, Isabel V. Carriere, Senior Executive Vice President, Chief Financial Officer, and Assistant Corporate Secretary of the Company, certify, pursuant to 18 U.S.C. Section 1350, as adopted pursuant to Section 906 of the Sarbanes-Oxley Act of 2002, that:</w:t>
      </w:r>
    </w:p>
    <w:p>
      <w:pPr>
        <w:spacing w:after="0" w:line="127" w:lineRule="exact"/>
        <w:rPr>
          <w:sz w:val="20"/>
          <w:szCs w:val="20"/>
          <w:color w:val="auto"/>
        </w:rPr>
      </w:pPr>
    </w:p>
    <w:p>
      <w:pPr>
        <w:ind w:left="409" w:hanging="409"/>
        <w:spacing w:after="0"/>
        <w:tabs>
          <w:tab w:leader="none" w:pos="409"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4" w:lineRule="exact"/>
        <w:rPr>
          <w:rFonts w:ascii="Arial" w:cs="Arial" w:eastAsia="Arial" w:hAnsi="Arial"/>
          <w:sz w:val="16"/>
          <w:szCs w:val="16"/>
          <w:color w:val="auto"/>
        </w:rPr>
      </w:pPr>
    </w:p>
    <w:p>
      <w:pPr>
        <w:ind w:left="409" w:hanging="409"/>
        <w:spacing w:after="0"/>
        <w:tabs>
          <w:tab w:leader="none" w:pos="409"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p>
      <w:pPr>
        <w:ind w:left="109"/>
        <w:spacing w:after="0"/>
        <w:tabs>
          <w:tab w:leader="none" w:pos="4649" w:val="left"/>
          <w:tab w:leader="none" w:pos="5109" w:val="left"/>
        </w:tabs>
        <w:rPr>
          <w:sz w:val="20"/>
          <w:szCs w:val="20"/>
          <w:color w:val="auto"/>
        </w:rPr>
      </w:pPr>
      <w:r>
        <w:rPr>
          <w:rFonts w:ascii="Arial" w:cs="Arial" w:eastAsia="Arial" w:hAnsi="Arial"/>
          <w:sz w:val="16"/>
          <w:szCs w:val="16"/>
          <w:color w:val="auto"/>
        </w:rPr>
        <w:t>Date: May 8, 2026</w:t>
      </w:r>
      <w:r>
        <w:rPr>
          <w:sz w:val="20"/>
          <w:szCs w:val="20"/>
          <w:color w:val="auto"/>
        </w:rPr>
        <w:tab/>
      </w:r>
      <w:r>
        <w:rPr>
          <w:rFonts w:ascii="Arial" w:cs="Arial" w:eastAsia="Arial" w:hAnsi="Arial"/>
          <w:sz w:val="16"/>
          <w:szCs w:val="16"/>
          <w:color w:val="auto"/>
        </w:rPr>
        <w:t>By:</w:t>
        <w:tab/>
        <w:t>/s/ Isabel V. Carriere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3248660</wp:posOffset>
            </wp:positionH>
            <wp:positionV relativeFrom="paragraph">
              <wp:posOffset>20955</wp:posOffset>
            </wp:positionV>
            <wp:extent cx="34715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6" w:lineRule="exact"/>
        <w:rPr>
          <w:sz w:val="20"/>
          <w:szCs w:val="20"/>
          <w:color w:val="auto"/>
        </w:rPr>
      </w:pPr>
    </w:p>
    <w:p>
      <w:pPr>
        <w:ind w:left="5129"/>
        <w:spacing w:after="0"/>
        <w:rPr>
          <w:sz w:val="20"/>
          <w:szCs w:val="20"/>
          <w:color w:val="auto"/>
        </w:rPr>
      </w:pPr>
      <w:r>
        <w:rPr>
          <w:rFonts w:ascii="Arial" w:cs="Arial" w:eastAsia="Arial" w:hAnsi="Arial"/>
          <w:sz w:val="16"/>
          <w:szCs w:val="16"/>
          <w:color w:val="auto"/>
        </w:rPr>
        <w:t>Isabel V. Carriere, CPA, CGMA</w:t>
      </w:r>
    </w:p>
    <w:p>
      <w:pPr>
        <w:spacing w:after="0" w:line="26" w:lineRule="exact"/>
        <w:rPr>
          <w:sz w:val="20"/>
          <w:szCs w:val="20"/>
          <w:color w:val="auto"/>
        </w:rPr>
      </w:pPr>
    </w:p>
    <w:p>
      <w:pPr>
        <w:ind w:left="5129"/>
        <w:spacing w:after="0"/>
        <w:rPr>
          <w:sz w:val="20"/>
          <w:szCs w:val="20"/>
          <w:color w:val="auto"/>
        </w:rPr>
      </w:pPr>
      <w:r>
        <w:rPr>
          <w:rFonts w:ascii="Arial" w:cs="Arial" w:eastAsia="Arial" w:hAnsi="Arial"/>
          <w:sz w:val="16"/>
          <w:szCs w:val="16"/>
          <w:color w:val="auto"/>
        </w:rPr>
        <w:t>Senior Executive Vice President, Chief Financial Officer, and Assistant</w:t>
      </w:r>
    </w:p>
    <w:p>
      <w:pPr>
        <w:ind w:left="5129"/>
        <w:spacing w:after="0"/>
        <w:rPr>
          <w:sz w:val="20"/>
          <w:szCs w:val="20"/>
          <w:color w:val="auto"/>
        </w:rPr>
      </w:pPr>
      <w:r>
        <w:rPr>
          <w:rFonts w:ascii="Arial" w:cs="Arial" w:eastAsia="Arial" w:hAnsi="Arial"/>
          <w:sz w:val="16"/>
          <w:szCs w:val="16"/>
          <w:color w:val="auto"/>
        </w:rPr>
        <w:t>Corporate Secretary</w:t>
      </w:r>
    </w:p>
    <w:p>
      <w:pPr>
        <w:spacing w:after="0" w:line="16" w:lineRule="exact"/>
        <w:rPr>
          <w:sz w:val="20"/>
          <w:szCs w:val="20"/>
          <w:color w:val="auto"/>
        </w:rPr>
      </w:pPr>
    </w:p>
    <w:p>
      <w:pPr>
        <w:ind w:left="5129"/>
        <w:spacing w:after="0"/>
        <w:rPr>
          <w:sz w:val="20"/>
          <w:szCs w:val="20"/>
          <w:color w:val="auto"/>
        </w:rPr>
      </w:pPr>
      <w:r>
        <w:rPr>
          <w:rFonts w:ascii="Arial" w:cs="Arial" w:eastAsia="Arial" w:hAnsi="Arial"/>
          <w:sz w:val="16"/>
          <w:szCs w:val="16"/>
          <w:color w:val="auto"/>
        </w:rPr>
        <w:t>(Principal Financial Officer and Principal Accounting Officer)</w:t>
      </w:r>
    </w:p>
    <w:sectPr>
      <w:pgSz w:w="11900" w:h="16838" w:orient="portrait"/>
      <w:cols w:equalWidth="0" w:num="1">
        <w:col w:w="10989"/>
      </w:cols>
      <w:pgMar w:left="571" w:top="1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decimal"/>
      <w:start w:val="2"/>
    </w:lvl>
  </w:abstractNum>
  <w:abstractNum w:abstractNumId="5">
    <w:nsid w:val="71F32454"/>
    <w:multiLevelType w:val="hybridMultilevel"/>
    <w:lvl w:ilvl="0">
      <w:lvlJc w:val="left"/>
      <w:lvlText w:val="%1."/>
      <w:numFmt w:val="decimal"/>
      <w:start w:val="4"/>
    </w:lvl>
  </w:abstractNum>
  <w:abstractNum w:abstractNumId="6">
    <w:nsid w:val="2CA88611"/>
    <w:multiLevelType w:val="hybridMultilevel"/>
    <w:lvl w:ilvl="0">
      <w:lvlJc w:val="left"/>
      <w:lvlText w:val="%1."/>
      <w:numFmt w:val="decimal"/>
      <w:start w:val="5"/>
    </w:lvl>
  </w:abstractNum>
  <w:abstractNum w:abstractNumId="7">
    <w:nsid w:val="836C40E"/>
    <w:multiLevelType w:val="hybridMultilevel"/>
    <w:lvl w:ilvl="0">
      <w:lvlJc w:val="left"/>
      <w:lvlText w:val="%1."/>
      <w:numFmt w:val="decimal"/>
      <w:start w:val="6"/>
    </w:lvl>
  </w:abstractNum>
  <w:abstractNum w:abstractNumId="8">
    <w:nsid w:val="2901D82"/>
    <w:multiLevelType w:val="hybridMultilevel"/>
    <w:lvl w:ilvl="0">
      <w:lvlJc w:val="left"/>
      <w:lvlText w:val="%1."/>
      <w:numFmt w:val="decimal"/>
      <w:start w:val="7"/>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decimal"/>
      <w:start w:val="8"/>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decimal"/>
      <w:start w:val="9"/>
    </w:lvl>
  </w:abstractNum>
  <w:abstractNum w:abstractNumId="13">
    <w:nsid w:val="737B8DDC"/>
    <w:multiLevelType w:val="hybridMultilevel"/>
    <w:lvl w:ilvl="0">
      <w:lvlJc w:val="left"/>
      <w:lvlText w:val="%1."/>
      <w:numFmt w:val="decimal"/>
      <w:start w:val="10"/>
    </w:lvl>
  </w:abstractNum>
  <w:abstractNum w:abstractNumId="14">
    <w:nsid w:val="6CEAF087"/>
    <w:multiLevelType w:val="hybridMultilevel"/>
    <w:lvl w:ilvl="0">
      <w:lvlJc w:val="left"/>
      <w:lvlText w:val="%1."/>
      <w:numFmt w:val="decimal"/>
      <w:start w:val="1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lvl w:ilvl="1">
      <w:lvlJc w:val="left"/>
      <w:lvlText w:val="◦"/>
      <w:numFmt w:val="bullet"/>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decimal"/>
      <w:start w:val="8"/>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101"/>
    </w:lvl>
  </w:abstractNum>
  <w:abstractNum w:abstractNumId="26">
    <w:nsid w:val="5C482A97"/>
    <w:multiLevelType w:val="hybridMultilevel"/>
    <w:lvl w:ilvl="0">
      <w:lvlJc w:val="left"/>
      <w:lvlText w:val="%1"/>
      <w:numFmt w:val="decimal"/>
      <w:start w:val="104"/>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1."/>
      <w:numFmt w:val="upperLetter"/>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decimal"/>
      <w:start w:val="2"/>
    </w:lvl>
  </w:abstractNum>
  <w:abstractNum w:abstractNumId="32">
    <w:nsid w:val="153EA438"/>
    <w:multiLevelType w:val="hybridMultilevel"/>
    <w:lvl w:ilvl="0">
      <w:lvlJc w:val="left"/>
      <w:lvlText w:val="%1"/>
      <w:numFmt w:val="decimal"/>
      <w:start w:val="1"/>
    </w:lvl>
    <w:lvl w:ilvl="1">
      <w:lvlJc w:val="left"/>
      <w:lvlText w:val="(%2)"/>
      <w:numFmt w:val="lowerRoman"/>
      <w:start w:val="2"/>
    </w:lvl>
  </w:abstractNum>
  <w:abstractNum w:abstractNumId="33">
    <w:nsid w:val="3855585C"/>
    <w:multiLevelType w:val="hybridMultilevel"/>
    <w:lvl w:ilvl="0">
      <w:lvlJc w:val="left"/>
      <w:lvlText w:val="%1."/>
      <w:numFmt w:val="decimal"/>
      <w:start w:val="3"/>
    </w:lvl>
    <w:lvl w:ilvl="1">
      <w:lvlJc w:val="left"/>
      <w:lvlText w:val="%2"/>
      <w:numFmt w:val="lowerRoman"/>
      <w:start w:val="1"/>
    </w:lvl>
  </w:abstractNum>
  <w:abstractNum w:abstractNumId="34">
    <w:nsid w:val="70A64E2A"/>
    <w:multiLevelType w:val="hybridMultilevel"/>
    <w:lvl w:ilvl="0">
      <w:lvlJc w:val="left"/>
      <w:lvlText w:val="%1."/>
      <w:numFmt w:val="decimal"/>
      <w:start w:val="4"/>
    </w:lvl>
  </w:abstractNum>
  <w:abstractNum w:abstractNumId="35">
    <w:nsid w:val="6A2342EC"/>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36">
    <w:nsid w:val="2A487CB0"/>
    <w:multiLevelType w:val="hybridMultilevel"/>
    <w:lvl w:ilvl="0">
      <w:lvlJc w:val="left"/>
      <w:lvlText w:val="%1"/>
      <w:numFmt w:val="lowerLetter"/>
      <w:start w:val="1"/>
    </w:lvl>
    <w:lvl w:ilvl="1">
      <w:lvlJc w:val="left"/>
      <w:lvlText w:val="(%2)"/>
      <w:numFmt w:val="lowerLetter"/>
      <w:start w:val="35"/>
    </w:lvl>
  </w:abstractNum>
  <w:abstractNum w:abstractNumId="37">
    <w:nsid w:val="1D4ED43B"/>
    <w:multiLevelType w:val="hybridMultilevel"/>
    <w:lvl w:ilvl="0">
      <w:lvlJc w:val="left"/>
      <w:lvlText w:val="(%1)"/>
      <w:numFmt w:val="lowerLetter"/>
      <w:start w:val="4"/>
    </w:lvl>
    <w:lvl w:ilvl="1">
      <w:lvlJc w:val="left"/>
      <w:lvlText w:val="%2"/>
      <w:numFmt w:val="lowerLetter"/>
      <w:start w:val="1"/>
    </w:lvl>
  </w:abstractNum>
  <w:abstractNum w:abstractNumId="38">
    <w:nsid w:val="725A06FB"/>
    <w:multiLevelType w:val="hybridMultilevel"/>
    <w:lvl w:ilvl="0">
      <w:lvlJc w:val="left"/>
      <w:lvlText w:val="%1."/>
      <w:numFmt w:val="decimal"/>
      <w:start w:val="6"/>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lowerLetter"/>
      <w:start w:val="1"/>
    </w:lvl>
  </w:abstractNum>
  <w:abstractNum w:abstractNumId="41">
    <w:nsid w:val="7A6D8D3C"/>
    <w:multiLevelType w:val="hybridMultilevel"/>
    <w:lvl w:ilvl="0">
      <w:lvlJc w:val="left"/>
      <w:lvlText w:val="%1."/>
      <w:numFmt w:val="decimal"/>
      <w:start w:val="5"/>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lowerLetter"/>
      <w:start w:val="1"/>
    </w:lvl>
  </w:abstractNum>
  <w:abstractNum w:abstractNumId="45">
    <w:nsid w:val="38437FDB"/>
    <w:multiLevelType w:val="hybridMultilevel"/>
    <w:lvl w:ilvl="0">
      <w:lvlJc w:val="left"/>
      <w:lvlText w:val="%1."/>
      <w:numFmt w:val="decimal"/>
      <w:start w:val="5"/>
    </w:lvl>
  </w:abstractNum>
  <w:abstractNum w:abstractNumId="46">
    <w:nsid w:val="7644A45C"/>
    <w:multiLevelType w:val="hybridMultilevel"/>
    <w:lvl w:ilvl="0">
      <w:lvlJc w:val="left"/>
      <w:lvlText w:val="(%1)"/>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69" Type="http://schemas.openxmlformats.org/officeDocument/2006/relationships/hyperlink" Target="https://www.sec.gov/Archives/edgar/data/1071236/000156459019011263/rrbi-ex31_51.htm" TargetMode="External"/><Relationship Id="rId70" Type="http://schemas.openxmlformats.org/officeDocument/2006/relationships/hyperlink" Target="https://www.sec.gov/Archives/edgar/data/1071236/000107123626000010/amendedbylaws_directorag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2026-05-08T05:34:07Z</dcterms:created>
  <dcterms:modified xsi:type="dcterms:W3CDTF">2026-05-08T05:34:07Z</dcterms:modified>
</cp:coreProperties>
</file>